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37" w:type="dxa"/>
        <w:tblLook w:val="04A0" w:firstRow="1" w:lastRow="0" w:firstColumn="1" w:lastColumn="0" w:noHBand="0" w:noVBand="1"/>
      </w:tblPr>
      <w:tblGrid>
        <w:gridCol w:w="3092"/>
        <w:gridCol w:w="436"/>
        <w:gridCol w:w="1687"/>
        <w:gridCol w:w="4622"/>
      </w:tblGrid>
      <w:tr w:rsidR="009C5590" w14:paraId="582EA459" w14:textId="77777777" w:rsidTr="009C5590">
        <w:tc>
          <w:tcPr>
            <w:tcW w:w="3092" w:type="dxa"/>
          </w:tcPr>
          <w:p w14:paraId="0CC3619F" w14:textId="77777777" w:rsidR="009C5590" w:rsidRDefault="009C5590">
            <w:r>
              <w:t>Reviewer Name:</w:t>
            </w:r>
          </w:p>
          <w:p w14:paraId="1848AD63" w14:textId="4328BC0F" w:rsidR="009C5590" w:rsidRDefault="009C5590"/>
        </w:tc>
        <w:tc>
          <w:tcPr>
            <w:tcW w:w="6745" w:type="dxa"/>
            <w:gridSpan w:val="3"/>
          </w:tcPr>
          <w:p w14:paraId="37306F67" w14:textId="3DB1CDE3" w:rsidR="009C5590" w:rsidRDefault="004C432C">
            <w:r>
              <w:t>Answer Key</w:t>
            </w:r>
          </w:p>
        </w:tc>
      </w:tr>
      <w:tr w:rsidR="009C5590" w14:paraId="3FC1AECA" w14:textId="77777777" w:rsidTr="009C5590">
        <w:tc>
          <w:tcPr>
            <w:tcW w:w="3092" w:type="dxa"/>
          </w:tcPr>
          <w:p w14:paraId="2E064F9B" w14:textId="77777777" w:rsidR="009C5590" w:rsidRDefault="009C5590">
            <w:r>
              <w:t>Review Date:</w:t>
            </w:r>
          </w:p>
          <w:p w14:paraId="1063D3AF" w14:textId="6EF4524D" w:rsidR="009C5590" w:rsidRDefault="009C5590"/>
        </w:tc>
        <w:tc>
          <w:tcPr>
            <w:tcW w:w="6745" w:type="dxa"/>
            <w:gridSpan w:val="3"/>
          </w:tcPr>
          <w:p w14:paraId="60BCA2E2" w14:textId="45533F9F" w:rsidR="009C5590" w:rsidRDefault="004C432C">
            <w:r>
              <w:t>05/21/2020</w:t>
            </w:r>
          </w:p>
        </w:tc>
      </w:tr>
      <w:tr w:rsidR="009C5590" w14:paraId="5A60FB5F" w14:textId="77777777" w:rsidTr="009C5590">
        <w:tc>
          <w:tcPr>
            <w:tcW w:w="3092" w:type="dxa"/>
          </w:tcPr>
          <w:p w14:paraId="44F38480" w14:textId="77777777" w:rsidR="009C5590" w:rsidRDefault="009C5590">
            <w:r>
              <w:t>PMID:</w:t>
            </w:r>
          </w:p>
          <w:p w14:paraId="045B4A70" w14:textId="1B090AE4" w:rsidR="009C5590" w:rsidRDefault="009C5590"/>
        </w:tc>
        <w:tc>
          <w:tcPr>
            <w:tcW w:w="6745" w:type="dxa"/>
            <w:gridSpan w:val="3"/>
          </w:tcPr>
          <w:p w14:paraId="3D435001" w14:textId="5FDB1059" w:rsidR="009C5590" w:rsidRPr="004C432C" w:rsidRDefault="009E059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4F4F4"/>
              </w:rPr>
              <w:t>3</w:t>
            </w:r>
            <w:r w:rsidR="004C432C" w:rsidRPr="004C432C">
              <w:rPr>
                <w:rFonts w:cstheme="minorHAnsi"/>
                <w:color w:val="000000"/>
                <w:shd w:val="clear" w:color="auto" w:fill="F4F4F4"/>
              </w:rPr>
              <w:t>2160661</w:t>
            </w:r>
            <w:r w:rsidR="00F75C6D">
              <w:rPr>
                <w:rFonts w:cstheme="minorHAnsi"/>
                <w:color w:val="000000"/>
                <w:shd w:val="clear" w:color="auto" w:fill="F4F4F4"/>
              </w:rPr>
              <w:t xml:space="preserve"> (</w:t>
            </w:r>
            <w:proofErr w:type="spellStart"/>
            <w:r w:rsidR="00F75C6D">
              <w:rPr>
                <w:rFonts w:cstheme="minorHAnsi"/>
                <w:color w:val="000000"/>
                <w:shd w:val="clear" w:color="auto" w:fill="F4F4F4"/>
              </w:rPr>
              <w:t>Barrot</w:t>
            </w:r>
            <w:proofErr w:type="spellEnd"/>
            <w:r w:rsidR="00F75C6D">
              <w:rPr>
                <w:rFonts w:cstheme="minorHAnsi"/>
                <w:color w:val="000000"/>
                <w:shd w:val="clear" w:color="auto" w:fill="F4F4F4"/>
              </w:rPr>
              <w:t>)</w:t>
            </w:r>
          </w:p>
        </w:tc>
      </w:tr>
      <w:tr w:rsidR="009C5590" w14:paraId="24B81440" w14:textId="77777777" w:rsidTr="009C5590">
        <w:tc>
          <w:tcPr>
            <w:tcW w:w="3092" w:type="dxa"/>
          </w:tcPr>
          <w:p w14:paraId="48CA5285" w14:textId="77777777" w:rsidR="009C5590" w:rsidRDefault="009C5590">
            <w:r>
              <w:t>Journal Article Title:</w:t>
            </w:r>
          </w:p>
          <w:p w14:paraId="55985084" w14:textId="4CBEA4EF" w:rsidR="009C5590" w:rsidRDefault="009C5590"/>
        </w:tc>
        <w:tc>
          <w:tcPr>
            <w:tcW w:w="6745" w:type="dxa"/>
            <w:gridSpan w:val="3"/>
          </w:tcPr>
          <w:p w14:paraId="4F55AC19" w14:textId="720F01E4" w:rsidR="009C5590" w:rsidRPr="009E059F" w:rsidRDefault="009E059F">
            <w:pPr>
              <w:rPr>
                <w:rFonts w:cstheme="minorHAnsi"/>
              </w:rPr>
            </w:pPr>
            <w:r w:rsidRPr="009E059F">
              <w:rPr>
                <w:rFonts w:cstheme="minorHAnsi"/>
                <w:color w:val="000000"/>
                <w:shd w:val="clear" w:color="auto" w:fill="FFFFFF"/>
              </w:rPr>
              <w:t>Liberal or Conservative Oxygen Therapy for Acute Respiratory Distress Syndrome.</w:t>
            </w:r>
            <w:r w:rsidR="00F75C6D">
              <w:rPr>
                <w:rFonts w:cstheme="minorHAnsi"/>
                <w:color w:val="000000"/>
                <w:shd w:val="clear" w:color="auto" w:fill="FFFFFF"/>
              </w:rPr>
              <w:t xml:space="preserve"> (2020)</w:t>
            </w:r>
          </w:p>
        </w:tc>
      </w:tr>
      <w:tr w:rsidR="009C5590" w14:paraId="0EF33263" w14:textId="77777777" w:rsidTr="009C5590">
        <w:tc>
          <w:tcPr>
            <w:tcW w:w="3092" w:type="dxa"/>
          </w:tcPr>
          <w:p w14:paraId="4EA46B58" w14:textId="32D9131A" w:rsidR="009C5590" w:rsidRDefault="009C5590">
            <w:r>
              <w:t>Clinical Question:</w:t>
            </w:r>
          </w:p>
          <w:p w14:paraId="44ED9492" w14:textId="424AE79E" w:rsidR="009C5590" w:rsidRDefault="009C5590"/>
        </w:tc>
        <w:tc>
          <w:tcPr>
            <w:tcW w:w="6745" w:type="dxa"/>
            <w:gridSpan w:val="3"/>
          </w:tcPr>
          <w:p w14:paraId="69697D27" w14:textId="0E46823C" w:rsidR="009C5590" w:rsidRDefault="00003F2E">
            <w:r>
              <w:t>Among patients with acute respiratory distress syn</w:t>
            </w:r>
            <w:r w:rsidR="007F0B7E">
              <w:t>drome (ARDS) does conservative vs. liberal oxygen therapy</w:t>
            </w:r>
            <w:r w:rsidR="00B562B9">
              <w:t xml:space="preserve"> </w:t>
            </w:r>
            <w:r w:rsidR="000A3CB1">
              <w:t>improve all</w:t>
            </w:r>
            <w:r w:rsidR="00C82740">
              <w:t>-</w:t>
            </w:r>
            <w:r w:rsidR="000A3CB1">
              <w:t xml:space="preserve">cause mortality at 28 days. </w:t>
            </w:r>
          </w:p>
        </w:tc>
      </w:tr>
      <w:tr w:rsidR="00F75C6D" w14:paraId="6DAE11E6" w14:textId="77777777" w:rsidTr="009C5590">
        <w:trPr>
          <w:trHeight w:val="157"/>
        </w:trPr>
        <w:tc>
          <w:tcPr>
            <w:tcW w:w="3092" w:type="dxa"/>
            <w:vMerge w:val="restart"/>
          </w:tcPr>
          <w:p w14:paraId="366A2D15" w14:textId="77777777" w:rsidR="00F75C6D" w:rsidRDefault="00F75C6D">
            <w:r>
              <w:t>Clinical Question Type:</w:t>
            </w:r>
          </w:p>
          <w:p w14:paraId="22E0C50D" w14:textId="688E4E99" w:rsidR="00F75C6D" w:rsidRDefault="00F75C6D"/>
        </w:tc>
        <w:sdt>
          <w:sdtPr>
            <w:id w:val="668577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7F2B654" w14:textId="50857443" w:rsidR="00F75C6D" w:rsidRDefault="00F75C6D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6309" w:type="dxa"/>
            <w:gridSpan w:val="2"/>
          </w:tcPr>
          <w:p w14:paraId="23F44955" w14:textId="12B0278D" w:rsidR="00F75C6D" w:rsidRDefault="00F75C6D">
            <w:r>
              <w:t>Treatment</w:t>
            </w:r>
          </w:p>
        </w:tc>
      </w:tr>
      <w:tr w:rsidR="00F75C6D" w14:paraId="78130CCE" w14:textId="77777777" w:rsidTr="009C5590">
        <w:trPr>
          <w:trHeight w:val="155"/>
        </w:trPr>
        <w:tc>
          <w:tcPr>
            <w:tcW w:w="3092" w:type="dxa"/>
            <w:vMerge/>
          </w:tcPr>
          <w:p w14:paraId="0240E07F" w14:textId="77777777" w:rsidR="00F75C6D" w:rsidRDefault="00F75C6D"/>
        </w:tc>
        <w:sdt>
          <w:sdtPr>
            <w:id w:val="-139049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185BCE1" w14:textId="47F53DE1" w:rsidR="00F75C6D" w:rsidRDefault="00F75C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9" w:type="dxa"/>
            <w:gridSpan w:val="2"/>
          </w:tcPr>
          <w:p w14:paraId="0DF12B33" w14:textId="10EBA2CE" w:rsidR="00F75C6D" w:rsidRDefault="00F75C6D">
            <w:r>
              <w:t>Diagnosis</w:t>
            </w:r>
          </w:p>
        </w:tc>
      </w:tr>
      <w:tr w:rsidR="00F75C6D" w14:paraId="1F87FE10" w14:textId="77777777" w:rsidTr="009C5590">
        <w:trPr>
          <w:trHeight w:val="155"/>
        </w:trPr>
        <w:tc>
          <w:tcPr>
            <w:tcW w:w="3092" w:type="dxa"/>
            <w:vMerge/>
          </w:tcPr>
          <w:p w14:paraId="0DDF4468" w14:textId="77777777" w:rsidR="00F75C6D" w:rsidRDefault="00F75C6D"/>
        </w:tc>
        <w:sdt>
          <w:sdtPr>
            <w:id w:val="-171179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0D29FB9" w14:textId="68995089" w:rsidR="00F75C6D" w:rsidRDefault="00F75C6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9" w:type="dxa"/>
            <w:gridSpan w:val="2"/>
          </w:tcPr>
          <w:p w14:paraId="49501024" w14:textId="1A9CD3BA" w:rsidR="00F75C6D" w:rsidRDefault="00F75C6D">
            <w:r>
              <w:t>Prognosis</w:t>
            </w:r>
          </w:p>
        </w:tc>
      </w:tr>
      <w:tr w:rsidR="00F75C6D" w14:paraId="3128BE7A" w14:textId="77777777" w:rsidTr="009C5590">
        <w:trPr>
          <w:trHeight w:val="155"/>
        </w:trPr>
        <w:tc>
          <w:tcPr>
            <w:tcW w:w="3092" w:type="dxa"/>
            <w:vMerge/>
          </w:tcPr>
          <w:p w14:paraId="6997CA45" w14:textId="77777777" w:rsidR="00F75C6D" w:rsidRDefault="00F75C6D" w:rsidP="00C27DFD"/>
        </w:tc>
        <w:sdt>
          <w:sdtPr>
            <w:id w:val="55497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F37AC01" w14:textId="70D5146C" w:rsidR="00F75C6D" w:rsidRDefault="00F75C6D" w:rsidP="00C27DF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9" w:type="dxa"/>
            <w:gridSpan w:val="2"/>
          </w:tcPr>
          <w:p w14:paraId="15CE94A2" w14:textId="2B3EEADA" w:rsidR="00F75C6D" w:rsidRDefault="00F75C6D" w:rsidP="00C27DFD">
            <w:r>
              <w:t>Systematic Review/Meta-Analysis</w:t>
            </w:r>
          </w:p>
        </w:tc>
      </w:tr>
      <w:tr w:rsidR="00652D54" w14:paraId="5C107BF0" w14:textId="77777777" w:rsidTr="009E6EB9">
        <w:trPr>
          <w:trHeight w:val="39"/>
        </w:trPr>
        <w:tc>
          <w:tcPr>
            <w:tcW w:w="3092" w:type="dxa"/>
          </w:tcPr>
          <w:p w14:paraId="04C06485" w14:textId="77777777" w:rsidR="00652D54" w:rsidRDefault="008A5A46">
            <w:r>
              <w:t>Study Design:</w:t>
            </w:r>
          </w:p>
          <w:p w14:paraId="7B353BDF" w14:textId="561BD4D2" w:rsidR="008A5A46" w:rsidRDefault="008A5A46"/>
        </w:tc>
        <w:tc>
          <w:tcPr>
            <w:tcW w:w="6745" w:type="dxa"/>
            <w:gridSpan w:val="3"/>
            <w:shd w:val="clear" w:color="auto" w:fill="auto"/>
          </w:tcPr>
          <w:p w14:paraId="6B093A5A" w14:textId="7DA8CBAA" w:rsidR="00652D54" w:rsidRPr="00F56230" w:rsidRDefault="004E5A7B" w:rsidP="004258F1">
            <w:r>
              <w:t xml:space="preserve">Prospective, </w:t>
            </w:r>
            <w:r w:rsidR="002F40C8">
              <w:t>r</w:t>
            </w:r>
            <w:r>
              <w:t>andomized open label study</w:t>
            </w:r>
            <w:r w:rsidR="002F40C8">
              <w:t>.</w:t>
            </w:r>
          </w:p>
        </w:tc>
      </w:tr>
      <w:tr w:rsidR="00652D54" w14:paraId="4CC10A56" w14:textId="77777777" w:rsidTr="006958D7">
        <w:trPr>
          <w:trHeight w:val="39"/>
        </w:trPr>
        <w:tc>
          <w:tcPr>
            <w:tcW w:w="3092" w:type="dxa"/>
          </w:tcPr>
          <w:p w14:paraId="6B0FCCB9" w14:textId="77777777" w:rsidR="00652D54" w:rsidRDefault="008A5A46">
            <w:r>
              <w:t>Sample Size and Power:</w:t>
            </w:r>
          </w:p>
          <w:p w14:paraId="7F6FA018" w14:textId="36B579D6" w:rsidR="008A5A46" w:rsidRDefault="008A5A46"/>
        </w:tc>
        <w:tc>
          <w:tcPr>
            <w:tcW w:w="6745" w:type="dxa"/>
            <w:gridSpan w:val="3"/>
            <w:shd w:val="clear" w:color="auto" w:fill="auto"/>
          </w:tcPr>
          <w:p w14:paraId="6E369458" w14:textId="77777777" w:rsidR="00A67B91" w:rsidRDefault="005D481A" w:rsidP="004258F1">
            <w:r>
              <w:t xml:space="preserve">850 patients </w:t>
            </w:r>
          </w:p>
          <w:p w14:paraId="3AD4E969" w14:textId="3A3103C7" w:rsidR="00652D54" w:rsidRDefault="005D481A" w:rsidP="004258F1">
            <w:r>
              <w:t xml:space="preserve">90% between group </w:t>
            </w:r>
            <w:r w:rsidR="002F40C8">
              <w:t xml:space="preserve">a priori </w:t>
            </w:r>
            <w:r>
              <w:t>power analysis</w:t>
            </w:r>
            <w:r w:rsidR="009A34A7">
              <w:t xml:space="preserve"> based on an expected effect size of 9%</w:t>
            </w:r>
            <w:r w:rsidR="001F5F6F">
              <w:t xml:space="preserve"> from published results of two prospective trials</w:t>
            </w:r>
          </w:p>
          <w:p w14:paraId="5D5CCD70" w14:textId="77777777" w:rsidR="001F5F6F" w:rsidRDefault="005D481A" w:rsidP="004258F1">
            <w:r>
              <w:t>396 were eligible, 191 were excluded: 205 randomized</w:t>
            </w:r>
          </w:p>
          <w:p w14:paraId="3BD746B9" w14:textId="636C808F" w:rsidR="005D481A" w:rsidRPr="00F56230" w:rsidRDefault="0022143E" w:rsidP="004258F1">
            <w:r>
              <w:t xml:space="preserve">Trial stopped by the DSMB for </w:t>
            </w:r>
            <w:r w:rsidR="002360D5">
              <w:t xml:space="preserve">increased adverse risk in the conservative oxygenation group. </w:t>
            </w:r>
          </w:p>
        </w:tc>
      </w:tr>
      <w:tr w:rsidR="009C5590" w14:paraId="48D95B80" w14:textId="77777777" w:rsidTr="005A0B4E">
        <w:trPr>
          <w:trHeight w:val="39"/>
        </w:trPr>
        <w:tc>
          <w:tcPr>
            <w:tcW w:w="3092" w:type="dxa"/>
            <w:vMerge w:val="restart"/>
          </w:tcPr>
          <w:p w14:paraId="49F1A475" w14:textId="697803C9" w:rsidR="009C5590" w:rsidRDefault="009C5590">
            <w:r>
              <w:t>Validity Assessment:</w:t>
            </w:r>
          </w:p>
        </w:tc>
        <w:tc>
          <w:tcPr>
            <w:tcW w:w="2123" w:type="dxa"/>
            <w:gridSpan w:val="2"/>
            <w:shd w:val="clear" w:color="auto" w:fill="D9D9D9" w:themeFill="background1" w:themeFillShade="D9"/>
          </w:tcPr>
          <w:p w14:paraId="7A502EC5" w14:textId="7A336F40" w:rsidR="009C5590" w:rsidRPr="00F56230" w:rsidRDefault="009C5590" w:rsidP="00F56230">
            <w:pPr>
              <w:jc w:val="center"/>
            </w:pPr>
            <w:r w:rsidRPr="00F56230">
              <w:t>Criteria</w:t>
            </w:r>
          </w:p>
        </w:tc>
        <w:tc>
          <w:tcPr>
            <w:tcW w:w="4622" w:type="dxa"/>
            <w:shd w:val="clear" w:color="auto" w:fill="D9D9D9" w:themeFill="background1" w:themeFillShade="D9"/>
          </w:tcPr>
          <w:p w14:paraId="563EF8BD" w14:textId="68EEB5BC" w:rsidR="009C5590" w:rsidRPr="00F56230" w:rsidRDefault="009C5590" w:rsidP="00F56230">
            <w:pPr>
              <w:jc w:val="center"/>
            </w:pPr>
            <w:r w:rsidRPr="00F56230">
              <w:t>Assessment</w:t>
            </w:r>
          </w:p>
        </w:tc>
      </w:tr>
      <w:tr w:rsidR="009C5590" w14:paraId="14FD89B8" w14:textId="77777777" w:rsidTr="005A0B4E">
        <w:trPr>
          <w:trHeight w:val="39"/>
        </w:trPr>
        <w:tc>
          <w:tcPr>
            <w:tcW w:w="3092" w:type="dxa"/>
            <w:vMerge/>
          </w:tcPr>
          <w:p w14:paraId="0ED85E90" w14:textId="77777777" w:rsidR="009C5590" w:rsidRDefault="009C5590"/>
        </w:tc>
        <w:tc>
          <w:tcPr>
            <w:tcW w:w="2123" w:type="dxa"/>
            <w:gridSpan w:val="2"/>
          </w:tcPr>
          <w:p w14:paraId="3B61309A" w14:textId="1D9C0EA7" w:rsidR="009C5590" w:rsidRDefault="004E5A7B">
            <w:r>
              <w:t>Randomization</w:t>
            </w:r>
          </w:p>
        </w:tc>
        <w:tc>
          <w:tcPr>
            <w:tcW w:w="4622" w:type="dxa"/>
          </w:tcPr>
          <w:p w14:paraId="1DB07176" w14:textId="194761F8" w:rsidR="009C5590" w:rsidRDefault="00980E7E">
            <w:r>
              <w:t xml:space="preserve">Computer randomization stratified </w:t>
            </w:r>
            <w:r w:rsidR="00C6614A">
              <w:t xml:space="preserve">by center, </w:t>
            </w:r>
            <w:r w:rsidR="00877E6E">
              <w:t>age,</w:t>
            </w:r>
            <w:r>
              <w:t xml:space="preserve"> and </w:t>
            </w:r>
            <w:r w:rsidR="00C6614A">
              <w:t xml:space="preserve">severity of </w:t>
            </w:r>
            <w:r>
              <w:t>respiratory failure</w:t>
            </w:r>
          </w:p>
        </w:tc>
      </w:tr>
      <w:tr w:rsidR="009C5590" w14:paraId="2C936FB2" w14:textId="77777777" w:rsidTr="005A0B4E">
        <w:trPr>
          <w:trHeight w:val="39"/>
        </w:trPr>
        <w:tc>
          <w:tcPr>
            <w:tcW w:w="3092" w:type="dxa"/>
            <w:vMerge/>
          </w:tcPr>
          <w:p w14:paraId="5D99271E" w14:textId="77777777" w:rsidR="009C5590" w:rsidRDefault="009C5590"/>
        </w:tc>
        <w:tc>
          <w:tcPr>
            <w:tcW w:w="2123" w:type="dxa"/>
            <w:gridSpan w:val="2"/>
          </w:tcPr>
          <w:p w14:paraId="1A306F39" w14:textId="1ED39A33" w:rsidR="009C5590" w:rsidRDefault="004E5A7B">
            <w:r>
              <w:t>Blinding</w:t>
            </w:r>
          </w:p>
        </w:tc>
        <w:tc>
          <w:tcPr>
            <w:tcW w:w="4622" w:type="dxa"/>
          </w:tcPr>
          <w:p w14:paraId="577E8A7B" w14:textId="15CF6A09" w:rsidR="009C5590" w:rsidRDefault="005D481A">
            <w:r>
              <w:t>Open Label (</w:t>
            </w:r>
            <w:r w:rsidR="000C1D1F">
              <w:t>not blinded</w:t>
            </w:r>
            <w:r w:rsidR="00796499">
              <w:t xml:space="preserve"> based on impossibility of making treatment assignment)</w:t>
            </w:r>
          </w:p>
        </w:tc>
      </w:tr>
      <w:tr w:rsidR="009C5590" w14:paraId="584A9E35" w14:textId="77777777" w:rsidTr="005A0B4E">
        <w:trPr>
          <w:trHeight w:val="39"/>
        </w:trPr>
        <w:tc>
          <w:tcPr>
            <w:tcW w:w="3092" w:type="dxa"/>
            <w:vMerge/>
          </w:tcPr>
          <w:p w14:paraId="2F30BF6E" w14:textId="77777777" w:rsidR="009C5590" w:rsidRDefault="009C5590"/>
        </w:tc>
        <w:tc>
          <w:tcPr>
            <w:tcW w:w="2123" w:type="dxa"/>
            <w:gridSpan w:val="2"/>
          </w:tcPr>
          <w:p w14:paraId="7D8787C4" w14:textId="13BF2034" w:rsidR="009C5590" w:rsidRDefault="004E5A7B">
            <w:r>
              <w:t xml:space="preserve">Baseline Group </w:t>
            </w:r>
            <w:r w:rsidR="00980E7E">
              <w:t>Comparability</w:t>
            </w:r>
          </w:p>
        </w:tc>
        <w:tc>
          <w:tcPr>
            <w:tcW w:w="4622" w:type="dxa"/>
          </w:tcPr>
          <w:p w14:paraId="7C2CA88A" w14:textId="766D1AE8" w:rsidR="009C5590" w:rsidRDefault="005D481A">
            <w:r>
              <w:t xml:space="preserve">Groups were comparable </w:t>
            </w:r>
            <w:r w:rsidR="00F50EE6">
              <w:t xml:space="preserve">based on review </w:t>
            </w:r>
            <w:r w:rsidR="00ED0D33">
              <w:t>of Table</w:t>
            </w:r>
            <w:r>
              <w:t xml:space="preserve"> 1 </w:t>
            </w:r>
          </w:p>
        </w:tc>
      </w:tr>
      <w:tr w:rsidR="009C5590" w14:paraId="074183E2" w14:textId="77777777" w:rsidTr="005A0B4E">
        <w:trPr>
          <w:trHeight w:val="39"/>
        </w:trPr>
        <w:tc>
          <w:tcPr>
            <w:tcW w:w="3092" w:type="dxa"/>
            <w:vMerge/>
          </w:tcPr>
          <w:p w14:paraId="41A43CA2" w14:textId="77777777" w:rsidR="009C5590" w:rsidRDefault="009C5590"/>
        </w:tc>
        <w:tc>
          <w:tcPr>
            <w:tcW w:w="2123" w:type="dxa"/>
            <w:gridSpan w:val="2"/>
          </w:tcPr>
          <w:p w14:paraId="54500881" w14:textId="368177A4" w:rsidR="009C5590" w:rsidRDefault="00980E7E">
            <w:r>
              <w:t>Follow up</w:t>
            </w:r>
          </w:p>
        </w:tc>
        <w:tc>
          <w:tcPr>
            <w:tcW w:w="4622" w:type="dxa"/>
          </w:tcPr>
          <w:p w14:paraId="54B6E379" w14:textId="4D13287D" w:rsidR="009C5590" w:rsidRDefault="00D444C5">
            <w:r>
              <w:t xml:space="preserve">Survival curves indicate patients were followed up to 90 days after surgery. </w:t>
            </w:r>
            <w:r w:rsidR="00141A86">
              <w:t>Four patients our of 205 randomized were excluded from analysis (</w:t>
            </w:r>
            <w:r w:rsidR="00521260">
              <w:t xml:space="preserve">2%). </w:t>
            </w:r>
          </w:p>
        </w:tc>
      </w:tr>
      <w:tr w:rsidR="009C5590" w14:paraId="3A3F47E4" w14:textId="77777777" w:rsidTr="005A0B4E">
        <w:trPr>
          <w:trHeight w:val="39"/>
        </w:trPr>
        <w:tc>
          <w:tcPr>
            <w:tcW w:w="3092" w:type="dxa"/>
            <w:vMerge/>
          </w:tcPr>
          <w:p w14:paraId="776D304B" w14:textId="77777777" w:rsidR="009C5590" w:rsidRDefault="009C5590"/>
        </w:tc>
        <w:tc>
          <w:tcPr>
            <w:tcW w:w="2123" w:type="dxa"/>
            <w:gridSpan w:val="2"/>
          </w:tcPr>
          <w:p w14:paraId="0BDA084F" w14:textId="5B43D7A8" w:rsidR="009C5590" w:rsidRDefault="00980E7E">
            <w:r>
              <w:t>Intent to Treat</w:t>
            </w:r>
          </w:p>
        </w:tc>
        <w:tc>
          <w:tcPr>
            <w:tcW w:w="4622" w:type="dxa"/>
          </w:tcPr>
          <w:p w14:paraId="32E29A1E" w14:textId="574D6938" w:rsidR="009C5590" w:rsidRDefault="00DE322B">
            <w:r>
              <w:t xml:space="preserve">Analyses were performed in </w:t>
            </w:r>
            <w:r w:rsidR="00D63C36">
              <w:t>the intention to treat population, defined as all patients who underwent randomization</w:t>
            </w:r>
            <w:r w:rsidR="00F00171">
              <w:t xml:space="preserve"> minus exclusions. </w:t>
            </w:r>
          </w:p>
        </w:tc>
      </w:tr>
      <w:tr w:rsidR="009C5590" w14:paraId="7857E1EE" w14:textId="77777777" w:rsidTr="009C5590">
        <w:trPr>
          <w:trHeight w:val="39"/>
        </w:trPr>
        <w:tc>
          <w:tcPr>
            <w:tcW w:w="3092" w:type="dxa"/>
          </w:tcPr>
          <w:p w14:paraId="740577BF" w14:textId="77777777" w:rsidR="009C5590" w:rsidRDefault="009C5590">
            <w:r>
              <w:t>Validity Summary:</w:t>
            </w:r>
          </w:p>
          <w:p w14:paraId="117E80E1" w14:textId="77777777" w:rsidR="009C5590" w:rsidRDefault="009C5590"/>
          <w:p w14:paraId="7B1E02FE" w14:textId="65F20A35" w:rsidR="009C5590" w:rsidRDefault="009C5590"/>
        </w:tc>
        <w:tc>
          <w:tcPr>
            <w:tcW w:w="6745" w:type="dxa"/>
            <w:gridSpan w:val="3"/>
          </w:tcPr>
          <w:p w14:paraId="62CD4834" w14:textId="10693699" w:rsidR="009C5590" w:rsidRDefault="00F96427">
            <w:r>
              <w:t xml:space="preserve">After examining randomization, baseline group </w:t>
            </w:r>
            <w:r w:rsidR="003B41BB">
              <w:t>comparability, follow</w:t>
            </w:r>
            <w:r>
              <w:t xml:space="preserve"> up</w:t>
            </w:r>
            <w:r w:rsidR="00F00171">
              <w:t xml:space="preserve"> and intent to </w:t>
            </w:r>
            <w:r w:rsidR="003B41BB">
              <w:t>treat, this</w:t>
            </w:r>
            <w:r>
              <w:t xml:space="preserve"> study was </w:t>
            </w:r>
            <w:r w:rsidR="003B41BB">
              <w:t xml:space="preserve">determined </w:t>
            </w:r>
            <w:r w:rsidR="00491A53">
              <w:t xml:space="preserve">valid for informing practice. </w:t>
            </w:r>
            <w:r w:rsidR="003B41BB">
              <w:t xml:space="preserve">While the study was not blinded, the open label nature of this experiment did not likely change study outcomes.  </w:t>
            </w:r>
          </w:p>
        </w:tc>
      </w:tr>
      <w:tr w:rsidR="009C5590" w14:paraId="433C5CFB" w14:textId="77777777" w:rsidTr="009C5590">
        <w:trPr>
          <w:trHeight w:val="39"/>
        </w:trPr>
        <w:tc>
          <w:tcPr>
            <w:tcW w:w="3092" w:type="dxa"/>
          </w:tcPr>
          <w:p w14:paraId="748ED776" w14:textId="77777777" w:rsidR="009C5590" w:rsidRDefault="009C5590">
            <w:r>
              <w:t>Clinical Importance of Findings:</w:t>
            </w:r>
          </w:p>
          <w:p w14:paraId="6330DBCE" w14:textId="77777777" w:rsidR="009C5590" w:rsidRDefault="009C5590"/>
          <w:p w14:paraId="4E995225" w14:textId="26ECBD8F" w:rsidR="009C5590" w:rsidRDefault="009C5590"/>
        </w:tc>
        <w:tc>
          <w:tcPr>
            <w:tcW w:w="6745" w:type="dxa"/>
            <w:gridSpan w:val="3"/>
          </w:tcPr>
          <w:p w14:paraId="55BCAE55" w14:textId="77777777" w:rsidR="001560C5" w:rsidRDefault="008C0C83">
            <w:r>
              <w:t xml:space="preserve">Treatment: </w:t>
            </w:r>
          </w:p>
          <w:p w14:paraId="199325C2" w14:textId="5D081FEC" w:rsidR="008C0C83" w:rsidRDefault="008C0C83" w:rsidP="001560C5">
            <w:pPr>
              <w:ind w:left="720"/>
            </w:pPr>
            <w:r>
              <w:t xml:space="preserve">Mortality at 28 days Conservative Oxygen </w:t>
            </w:r>
            <w:r w:rsidR="00CC2624">
              <w:t xml:space="preserve">(34 of 99) </w:t>
            </w:r>
            <w:r>
              <w:t xml:space="preserve">34%, Liberal Oxygen </w:t>
            </w:r>
            <w:r w:rsidR="00CC2624">
              <w:t xml:space="preserve">(27 of 102) </w:t>
            </w:r>
            <w:r>
              <w:t>27%</w:t>
            </w:r>
            <w:r w:rsidR="001560C5">
              <w:t>.</w:t>
            </w:r>
          </w:p>
          <w:p w14:paraId="7B944D40" w14:textId="1BBD86B7" w:rsidR="009C5590" w:rsidRDefault="008C0C83" w:rsidP="001560C5">
            <w:pPr>
              <w:ind w:left="720"/>
            </w:pPr>
            <w:r>
              <w:t>Mortality at 90 days Conservative Oxygen 44%, Liberal Oxygen 30%</w:t>
            </w:r>
            <w:r w:rsidR="001560C5">
              <w:t>.</w:t>
            </w:r>
          </w:p>
          <w:p w14:paraId="1702C439" w14:textId="50E5D61F" w:rsidR="00E83B5A" w:rsidRDefault="008107FE" w:rsidP="001560C5">
            <w:pPr>
              <w:ind w:left="720"/>
            </w:pPr>
            <w:r>
              <w:lastRenderedPageBreak/>
              <w:t>Ventilator associated pneumonia: Conservative Oxygen 17%, Liberal Oxygen 21%</w:t>
            </w:r>
            <w:r w:rsidR="001560C5">
              <w:t>.</w:t>
            </w:r>
          </w:p>
          <w:p w14:paraId="7F079126" w14:textId="77777777" w:rsidR="00F75C6D" w:rsidRDefault="00F75C6D"/>
          <w:p w14:paraId="6AF1399E" w14:textId="0ED46417" w:rsidR="008C0C83" w:rsidRDefault="008C0C83">
            <w:r>
              <w:t xml:space="preserve">Harm: </w:t>
            </w:r>
            <w:proofErr w:type="spellStart"/>
            <w:r>
              <w:t>Mesentric</w:t>
            </w:r>
            <w:proofErr w:type="spellEnd"/>
            <w:r>
              <w:t xml:space="preserve"> ischemic events Conservative Oxygen 5, Liberal Oxygen 0</w:t>
            </w:r>
            <w:r w:rsidR="006F4032">
              <w:t xml:space="preserve">. Other outcomes were not significantly difference between the two groups. </w:t>
            </w:r>
          </w:p>
        </w:tc>
      </w:tr>
      <w:tr w:rsidR="005A0B4E" w14:paraId="10D921DA" w14:textId="77777777" w:rsidTr="009C5590">
        <w:trPr>
          <w:trHeight w:val="39"/>
        </w:trPr>
        <w:tc>
          <w:tcPr>
            <w:tcW w:w="3092" w:type="dxa"/>
          </w:tcPr>
          <w:p w14:paraId="58FF067B" w14:textId="77777777" w:rsidR="005A0B4E" w:rsidRDefault="00853281">
            <w:r>
              <w:lastRenderedPageBreak/>
              <w:t>Clinical Summary:</w:t>
            </w:r>
          </w:p>
          <w:p w14:paraId="3CD1D91A" w14:textId="77777777" w:rsidR="00853281" w:rsidRDefault="00853281"/>
          <w:p w14:paraId="5B90D9DE" w14:textId="4AA87D0B" w:rsidR="00853281" w:rsidRDefault="00853281"/>
        </w:tc>
        <w:tc>
          <w:tcPr>
            <w:tcW w:w="6745" w:type="dxa"/>
            <w:gridSpan w:val="3"/>
          </w:tcPr>
          <w:p w14:paraId="5F02FE0D" w14:textId="5B46F3EB" w:rsidR="005A0B4E" w:rsidRDefault="008C0C83">
            <w:r>
              <w:t xml:space="preserve">Conservative </w:t>
            </w:r>
            <w:r w:rsidR="001F6136">
              <w:t>o</w:t>
            </w:r>
            <w:r>
              <w:t>xygen</w:t>
            </w:r>
            <w:r w:rsidR="001F6136">
              <w:t>ation</w:t>
            </w:r>
            <w:r>
              <w:t xml:space="preserve"> </w:t>
            </w:r>
            <w:r w:rsidR="0047196A">
              <w:t xml:space="preserve">during the first </w:t>
            </w:r>
            <w:r w:rsidR="00426EE6">
              <w:t>seven days of mechanical ventilation did not reduce mort</w:t>
            </w:r>
            <w:r w:rsidR="001F6136">
              <w:t xml:space="preserve">ality at 28 days as expected. </w:t>
            </w:r>
            <w:r w:rsidR="00270271">
              <w:t>Increased mortality at 90 days and increased risk of mesenteric ischemia was observed</w:t>
            </w:r>
            <w:r w:rsidR="00131135">
              <w:t xml:space="preserve"> in the conservative oxygenation group</w:t>
            </w:r>
            <w:r w:rsidR="00270271">
              <w:t xml:space="preserve">. </w:t>
            </w:r>
          </w:p>
        </w:tc>
      </w:tr>
      <w:tr w:rsidR="008A5A46" w14:paraId="2FB358F2" w14:textId="77777777" w:rsidTr="009C5590">
        <w:trPr>
          <w:trHeight w:val="39"/>
        </w:trPr>
        <w:tc>
          <w:tcPr>
            <w:tcW w:w="3092" w:type="dxa"/>
          </w:tcPr>
          <w:p w14:paraId="4004DC80" w14:textId="77777777" w:rsidR="008A5A46" w:rsidRDefault="008A5A46">
            <w:r>
              <w:t>Other Comments</w:t>
            </w:r>
          </w:p>
          <w:p w14:paraId="3315B734" w14:textId="77777777" w:rsidR="008A5A46" w:rsidRDefault="008A5A46"/>
          <w:p w14:paraId="01C3E0A7" w14:textId="158BE67B" w:rsidR="008A5A46" w:rsidRDefault="008A5A46"/>
        </w:tc>
        <w:tc>
          <w:tcPr>
            <w:tcW w:w="6745" w:type="dxa"/>
            <w:gridSpan w:val="3"/>
          </w:tcPr>
          <w:p w14:paraId="528E1473" w14:textId="60586599" w:rsidR="008A5A46" w:rsidRDefault="008A5A46"/>
        </w:tc>
      </w:tr>
    </w:tbl>
    <w:p w14:paraId="37BB5B8C" w14:textId="4DA333A7" w:rsidR="001C5B37" w:rsidRDefault="001C5B37"/>
    <w:p w14:paraId="09015C32" w14:textId="143AAB6E" w:rsidR="00CB14A7" w:rsidRDefault="00CB14A7"/>
    <w:p w14:paraId="29CF5675" w14:textId="142D984F" w:rsidR="00CB14A7" w:rsidRDefault="00CB14A7"/>
    <w:sectPr w:rsidR="00CB14A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F0FD8" w14:textId="77777777" w:rsidR="002D64A0" w:rsidRDefault="002D64A0" w:rsidP="009C5590">
      <w:pPr>
        <w:spacing w:after="0" w:line="240" w:lineRule="auto"/>
      </w:pPr>
      <w:r>
        <w:separator/>
      </w:r>
    </w:p>
  </w:endnote>
  <w:endnote w:type="continuationSeparator" w:id="0">
    <w:p w14:paraId="1BDFF706" w14:textId="77777777" w:rsidR="002D64A0" w:rsidRDefault="002D64A0" w:rsidP="009C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A38B9" w14:textId="3F64E3ED" w:rsidR="009C5590" w:rsidRDefault="009C5590">
    <w:pPr>
      <w:pStyle w:val="Footer"/>
    </w:pPr>
    <w:proofErr w:type="spellStart"/>
    <w:r>
      <w:t>Daratha</w:t>
    </w:r>
    <w:proofErr w:type="spellEnd"/>
    <w:r>
      <w:t xml:space="preserve"> - Critically Appraised Topic</w:t>
    </w:r>
    <w:r>
      <w:tab/>
    </w:r>
    <w:r>
      <w:tab/>
      <w:t>5/</w:t>
    </w:r>
    <w:r w:rsidR="00645908">
      <w:t>1</w:t>
    </w:r>
    <w:r w:rsidR="00A24036">
      <w:t>8</w:t>
    </w:r>
    <w: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968E3" w14:textId="77777777" w:rsidR="002D64A0" w:rsidRDefault="002D64A0" w:rsidP="009C5590">
      <w:pPr>
        <w:spacing w:after="0" w:line="240" w:lineRule="auto"/>
      </w:pPr>
      <w:r>
        <w:separator/>
      </w:r>
    </w:p>
  </w:footnote>
  <w:footnote w:type="continuationSeparator" w:id="0">
    <w:p w14:paraId="6F235FFC" w14:textId="77777777" w:rsidR="002D64A0" w:rsidRDefault="002D64A0" w:rsidP="009C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2107A" w14:textId="5762DE66" w:rsidR="009C5590" w:rsidRDefault="009C5590" w:rsidP="00F56230">
    <w:pPr>
      <w:pStyle w:val="Header"/>
      <w:jc w:val="center"/>
    </w:pPr>
    <w:r>
      <w:t>Providence Sacred Heart Medical Center &amp; Gonzaga University School of Anesthesia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90"/>
    <w:rsid w:val="00003F2E"/>
    <w:rsid w:val="00043A1B"/>
    <w:rsid w:val="000A3CB1"/>
    <w:rsid w:val="000C1D1F"/>
    <w:rsid w:val="00114877"/>
    <w:rsid w:val="00131135"/>
    <w:rsid w:val="00141A86"/>
    <w:rsid w:val="00146D37"/>
    <w:rsid w:val="001560C5"/>
    <w:rsid w:val="001C5B37"/>
    <w:rsid w:val="001F5F6F"/>
    <w:rsid w:val="001F6136"/>
    <w:rsid w:val="0022143E"/>
    <w:rsid w:val="002360D5"/>
    <w:rsid w:val="00270271"/>
    <w:rsid w:val="002D64A0"/>
    <w:rsid w:val="002F40C8"/>
    <w:rsid w:val="003801FF"/>
    <w:rsid w:val="003A732C"/>
    <w:rsid w:val="003B41BB"/>
    <w:rsid w:val="004258F1"/>
    <w:rsid w:val="00426EE6"/>
    <w:rsid w:val="0047196A"/>
    <w:rsid w:val="0047269F"/>
    <w:rsid w:val="00491A53"/>
    <w:rsid w:val="004C432C"/>
    <w:rsid w:val="004E5A7B"/>
    <w:rsid w:val="00521260"/>
    <w:rsid w:val="005A0B4E"/>
    <w:rsid w:val="005D481A"/>
    <w:rsid w:val="00645908"/>
    <w:rsid w:val="00652D54"/>
    <w:rsid w:val="006873AF"/>
    <w:rsid w:val="00693500"/>
    <w:rsid w:val="006F4032"/>
    <w:rsid w:val="00781167"/>
    <w:rsid w:val="00796499"/>
    <w:rsid w:val="007B3D0D"/>
    <w:rsid w:val="007F0B7E"/>
    <w:rsid w:val="007F4997"/>
    <w:rsid w:val="008107FE"/>
    <w:rsid w:val="00853281"/>
    <w:rsid w:val="00877E6E"/>
    <w:rsid w:val="008A5A46"/>
    <w:rsid w:val="008C0C83"/>
    <w:rsid w:val="00980E7E"/>
    <w:rsid w:val="009A34A7"/>
    <w:rsid w:val="009C5590"/>
    <w:rsid w:val="009E059F"/>
    <w:rsid w:val="00A031B1"/>
    <w:rsid w:val="00A24036"/>
    <w:rsid w:val="00A67B91"/>
    <w:rsid w:val="00AD7061"/>
    <w:rsid w:val="00B515A3"/>
    <w:rsid w:val="00B562B9"/>
    <w:rsid w:val="00C27DFD"/>
    <w:rsid w:val="00C6614A"/>
    <w:rsid w:val="00C82740"/>
    <w:rsid w:val="00CB14A7"/>
    <w:rsid w:val="00CC2624"/>
    <w:rsid w:val="00D444C5"/>
    <w:rsid w:val="00D63C36"/>
    <w:rsid w:val="00DE143C"/>
    <w:rsid w:val="00DE322B"/>
    <w:rsid w:val="00DE37DD"/>
    <w:rsid w:val="00E03623"/>
    <w:rsid w:val="00E83B5A"/>
    <w:rsid w:val="00ED0D33"/>
    <w:rsid w:val="00ED705A"/>
    <w:rsid w:val="00F00171"/>
    <w:rsid w:val="00F50EE6"/>
    <w:rsid w:val="00F56230"/>
    <w:rsid w:val="00F75C6D"/>
    <w:rsid w:val="00F90CDA"/>
    <w:rsid w:val="00F96427"/>
    <w:rsid w:val="00F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1ED07"/>
  <w15:chartTrackingRefBased/>
  <w15:docId w15:val="{D132BE1E-9C57-40DE-A830-3F95DB5C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90"/>
  </w:style>
  <w:style w:type="paragraph" w:styleId="Footer">
    <w:name w:val="footer"/>
    <w:basedOn w:val="Normal"/>
    <w:link w:val="FooterChar"/>
    <w:uiPriority w:val="99"/>
    <w:unhideWhenUsed/>
    <w:rsid w:val="009C5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90"/>
  </w:style>
  <w:style w:type="table" w:styleId="TableGrid">
    <w:name w:val="Table Grid"/>
    <w:basedOn w:val="TableNormal"/>
    <w:uiPriority w:val="39"/>
    <w:rsid w:val="009C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D1D75D449AA43A23A88893C876B86" ma:contentTypeVersion="12" ma:contentTypeDescription="Create a new document." ma:contentTypeScope="" ma:versionID="d1cf52abb02309aebfc300de39e929cc">
  <xsd:schema xmlns:xsd="http://www.w3.org/2001/XMLSchema" xmlns:xs="http://www.w3.org/2001/XMLSchema" xmlns:p="http://schemas.microsoft.com/office/2006/metadata/properties" xmlns:ns2="a309b09f-aab3-461e-b1a9-d2ea3d409f9f" xmlns:ns3="755fb392-903d-40ca-8ff6-b17565a4069f" targetNamespace="http://schemas.microsoft.com/office/2006/metadata/properties" ma:root="true" ma:fieldsID="006af3a84f4807a604fcf6adbd18daa6" ns2:_="" ns3:_="">
    <xsd:import namespace="a309b09f-aab3-461e-b1a9-d2ea3d409f9f"/>
    <xsd:import namespace="755fb392-903d-40ca-8ff6-b17565a40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9b09f-aab3-461e-b1a9-d2ea3d409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fb392-903d-40ca-8ff6-b17565a40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F2458-16FA-4911-90D3-FAC7E558B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9b09f-aab3-461e-b1a9-d2ea3d409f9f"/>
    <ds:schemaRef ds:uri="755fb392-903d-40ca-8ff6-b17565a40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33DA0-7851-4533-B83C-F071C7BAFA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AE1D0-7BC2-4F3E-B823-696448AF7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Daratha</dc:creator>
  <cp:keywords/>
  <dc:description/>
  <cp:lastModifiedBy>Aric Lane</cp:lastModifiedBy>
  <cp:revision>51</cp:revision>
  <dcterms:created xsi:type="dcterms:W3CDTF">2020-05-14T16:49:00Z</dcterms:created>
  <dcterms:modified xsi:type="dcterms:W3CDTF">2021-05-12T00:03:00Z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0x0101006AAD1D75D449AA43A23A88893C876B86</vt:lpwstr>
  </property>
  <property fmtid="{D5CDD505-2E9C-101B-9397-08002B2CF9AE}" pid="3" name="MSIP_Label_11a905b5-8388-4a05-b89a-55e43f7b4d00_Enabled">
    <vt:lpwstr>true</vt:lpwstr>
  </property>
  <property fmtid="{D5CDD505-2E9C-101B-9397-08002B2CF9AE}" pid="4" name="MSIP_Label_11a905b5-8388-4a05-b89a-55e43f7b4d00_SetDate">
    <vt:lpwstr>2020-09-23T21:43:35Z</vt:lpwstr>
  </property>
  <property fmtid="{D5CDD505-2E9C-101B-9397-08002B2CF9AE}" pid="5" name="MSIP_Label_11a905b5-8388-4a05-b89a-55e43f7b4d00_Method">
    <vt:lpwstr>Standard</vt:lpwstr>
  </property>
  <property fmtid="{D5CDD505-2E9C-101B-9397-08002B2CF9AE}" pid="6" name="MSIP_Label_11a905b5-8388-4a05-b89a-55e43f7b4d00_Name">
    <vt:lpwstr>General</vt:lpwstr>
  </property>
  <property fmtid="{D5CDD505-2E9C-101B-9397-08002B2CF9AE}" pid="7" name="MSIP_Label_11a905b5-8388-4a05-b89a-55e43f7b4d00_SiteId">
    <vt:lpwstr>2e319086-9a26-46a3-865f-615bed576786</vt:lpwstr>
  </property>
  <property fmtid="{D5CDD505-2E9C-101B-9397-08002B2CF9AE}" pid="8" name="MSIP_Label_11a905b5-8388-4a05-b89a-55e43f7b4d00_ActionId">
    <vt:lpwstr>4b969fd2-5b5e-406b-9803-34e4491e3905</vt:lpwstr>
  </property>
  <property fmtid="{D5CDD505-2E9C-101B-9397-08002B2CF9AE}" pid="9" name="MSIP_Label_11a905b5-8388-4a05-b89a-55e43f7b4d00_ContentBits">
    <vt:lpwstr>0</vt:lpwstr>
  </property>
</Properties>
</file>