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84" w:rsidRPr="007C09A3" w:rsidRDefault="009C66E3" w:rsidP="009C66E3">
      <w:pPr>
        <w:jc w:val="center"/>
        <w:rPr>
          <w:rFonts w:asciiTheme="minorHAnsi" w:hAnsiTheme="minorHAnsi"/>
        </w:rPr>
      </w:pPr>
      <w:r>
        <w:rPr>
          <w:noProof/>
        </w:rPr>
        <w:drawing>
          <wp:inline distT="0" distB="0" distL="0" distR="0" wp14:anchorId="682FFB19" wp14:editId="13C0DE54">
            <wp:extent cx="2703444" cy="554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HS-horizontal-color-1000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3555" cy="556280"/>
                    </a:xfrm>
                    <a:prstGeom prst="rect">
                      <a:avLst/>
                    </a:prstGeom>
                  </pic:spPr>
                </pic:pic>
              </a:graphicData>
            </a:graphic>
          </wp:inline>
        </w:drawing>
      </w:r>
    </w:p>
    <w:p w:rsidR="00C20CFF" w:rsidRPr="007C09A3" w:rsidRDefault="003B13A7" w:rsidP="00C20CFF">
      <w:pPr>
        <w:jc w:val="center"/>
        <w:rPr>
          <w:rFonts w:asciiTheme="minorHAnsi" w:hAnsiTheme="minorHAnsi" w:cs="Arial"/>
          <w:b/>
        </w:rPr>
      </w:pPr>
      <w:r>
        <w:rPr>
          <w:rFonts w:asciiTheme="minorHAnsi" w:hAnsiTheme="minorHAnsi" w:cs="Arial"/>
          <w:b/>
        </w:rPr>
        <w:t>Study Implement</w:t>
      </w:r>
      <w:r w:rsidR="00C20CFF" w:rsidRPr="007C09A3">
        <w:rPr>
          <w:rFonts w:asciiTheme="minorHAnsi" w:hAnsiTheme="minorHAnsi" w:cs="Arial"/>
          <w:b/>
        </w:rPr>
        <w:t xml:space="preserve">ation </w:t>
      </w:r>
      <w:r w:rsidR="00A83C2A">
        <w:rPr>
          <w:rFonts w:asciiTheme="minorHAnsi" w:hAnsiTheme="minorHAnsi" w:cs="Arial"/>
          <w:b/>
        </w:rPr>
        <w:t>Checkl</w:t>
      </w:r>
      <w:bookmarkStart w:id="0" w:name="_GoBack"/>
      <w:bookmarkEnd w:id="0"/>
      <w:r w:rsidR="00C20CFF" w:rsidRPr="007C09A3">
        <w:rPr>
          <w:rFonts w:asciiTheme="minorHAnsi" w:hAnsiTheme="minorHAnsi" w:cs="Arial"/>
          <w:b/>
        </w:rPr>
        <w:t>ist</w:t>
      </w:r>
    </w:p>
    <w:p w:rsidR="00C20CFF" w:rsidRPr="00330DED" w:rsidRDefault="00C20CFF" w:rsidP="00C20CFF">
      <w:pPr>
        <w:jc w:val="center"/>
        <w:rPr>
          <w:rFonts w:asciiTheme="minorHAnsi" w:hAnsiTheme="minorHAnsi" w:cs="Arial"/>
          <w:b/>
          <w:sz w:val="16"/>
          <w:szCs w:val="16"/>
        </w:rPr>
      </w:pPr>
    </w:p>
    <w:tbl>
      <w:tblPr>
        <w:tblStyle w:val="TableGrid"/>
        <w:tblW w:w="0" w:type="auto"/>
        <w:tblLayout w:type="fixed"/>
        <w:tblLook w:val="04A0" w:firstRow="1" w:lastRow="0" w:firstColumn="1" w:lastColumn="0" w:noHBand="0" w:noVBand="1"/>
      </w:tblPr>
      <w:tblGrid>
        <w:gridCol w:w="1638"/>
        <w:gridCol w:w="9378"/>
      </w:tblGrid>
      <w:tr w:rsidR="003B13A7" w:rsidRPr="007C09A3" w:rsidTr="003B13A7">
        <w:tc>
          <w:tcPr>
            <w:tcW w:w="11016" w:type="dxa"/>
            <w:gridSpan w:val="2"/>
            <w:tcBorders>
              <w:top w:val="single" w:sz="4" w:space="0" w:color="auto"/>
            </w:tcBorders>
            <w:shd w:val="clear" w:color="auto" w:fill="D9D9D9" w:themeFill="background1" w:themeFillShade="D9"/>
          </w:tcPr>
          <w:p w:rsidR="003B13A7" w:rsidRPr="0010441D" w:rsidRDefault="003B13A7" w:rsidP="003B13A7">
            <w:pPr>
              <w:spacing w:before="40" w:after="40"/>
              <w:jc w:val="center"/>
              <w:rPr>
                <w:rFonts w:asciiTheme="minorHAnsi" w:hAnsiTheme="minorHAnsi"/>
                <w:sz w:val="18"/>
                <w:szCs w:val="18"/>
              </w:rPr>
            </w:pPr>
            <w:r w:rsidRPr="003B13A7">
              <w:rPr>
                <w:rFonts w:asciiTheme="minorHAnsi" w:hAnsiTheme="minorHAnsi" w:cs="Arial"/>
                <w:b/>
                <w:sz w:val="20"/>
                <w:szCs w:val="20"/>
              </w:rPr>
              <w:t>IDENTIFY AND ENROLL ELIGIBLE PARTICIPANTS</w:t>
            </w:r>
          </w:p>
        </w:tc>
      </w:tr>
      <w:tr w:rsidR="003B13A7" w:rsidRPr="007C09A3" w:rsidTr="009C66E3">
        <w:tc>
          <w:tcPr>
            <w:tcW w:w="1638" w:type="dxa"/>
            <w:tcBorders>
              <w:top w:val="single" w:sz="4" w:space="0" w:color="auto"/>
            </w:tcBorders>
          </w:tcPr>
          <w:p w:rsidR="003B13A7" w:rsidRPr="009D50A6" w:rsidRDefault="003B13A7" w:rsidP="009D50A6">
            <w:pPr>
              <w:spacing w:before="40" w:after="40"/>
              <w:rPr>
                <w:rFonts w:asciiTheme="minorHAnsi" w:hAnsiTheme="minorHAnsi" w:cs="Arial"/>
                <w:b/>
                <w:sz w:val="20"/>
                <w:szCs w:val="20"/>
              </w:rPr>
            </w:pPr>
            <w:r w:rsidRPr="003B13A7">
              <w:rPr>
                <w:rFonts w:asciiTheme="minorHAnsi" w:hAnsiTheme="minorHAnsi" w:cs="Arial"/>
                <w:b/>
                <w:sz w:val="20"/>
                <w:szCs w:val="20"/>
              </w:rPr>
              <w:t>Pre-screen Records to Identify Eligible Participants</w:t>
            </w:r>
          </w:p>
        </w:tc>
        <w:tc>
          <w:tcPr>
            <w:tcW w:w="9378" w:type="dxa"/>
            <w:tcBorders>
              <w:top w:val="single" w:sz="4" w:space="0" w:color="auto"/>
            </w:tcBorders>
          </w:tcPr>
          <w:p w:rsidR="003B13A7" w:rsidRDefault="003B13A7" w:rsidP="003B13A7">
            <w:pPr>
              <w:spacing w:before="40" w:after="40"/>
              <w:rPr>
                <w:rFonts w:asciiTheme="minorHAnsi" w:hAnsiTheme="minorHAnsi"/>
                <w:sz w:val="18"/>
                <w:szCs w:val="18"/>
              </w:rPr>
            </w:pPr>
            <w:r w:rsidRPr="003B13A7">
              <w:rPr>
                <w:rFonts w:asciiTheme="minorHAnsi" w:hAnsiTheme="minorHAnsi"/>
                <w:sz w:val="18"/>
                <w:szCs w:val="18"/>
              </w:rPr>
              <w:t>If you are using Epic or ORCA to identify possible subjects to approach for research, you should have IRB approval of a Waiver of HIPAA Authorization (and if the UW is the IRB reviewing the project, a Waiver of Informed Consent also).</w:t>
            </w:r>
            <w:r>
              <w:rPr>
                <w:rFonts w:asciiTheme="minorHAnsi" w:hAnsiTheme="minorHAnsi"/>
                <w:sz w:val="18"/>
                <w:szCs w:val="18"/>
              </w:rPr>
              <w:t xml:space="preserve"> See the Pre-Study Initiation Checklist sections “</w:t>
            </w:r>
            <w:r w:rsidRPr="003B13A7">
              <w:rPr>
                <w:rFonts w:asciiTheme="minorHAnsi" w:hAnsiTheme="minorHAnsi"/>
                <w:sz w:val="18"/>
                <w:szCs w:val="18"/>
              </w:rPr>
              <w:t>IRB Approval</w:t>
            </w:r>
            <w:r>
              <w:rPr>
                <w:rFonts w:asciiTheme="minorHAnsi" w:hAnsiTheme="minorHAnsi"/>
                <w:sz w:val="18"/>
                <w:szCs w:val="18"/>
              </w:rPr>
              <w:t>” and “</w:t>
            </w:r>
            <w:r w:rsidRPr="003B13A7">
              <w:rPr>
                <w:rFonts w:asciiTheme="minorHAnsi" w:hAnsiTheme="minorHAnsi"/>
                <w:sz w:val="18"/>
                <w:szCs w:val="18"/>
              </w:rPr>
              <w:t>Access to UW Electronic Medical Records</w:t>
            </w:r>
            <w:r>
              <w:rPr>
                <w:rFonts w:asciiTheme="minorHAnsi" w:hAnsiTheme="minorHAnsi"/>
                <w:sz w:val="18"/>
                <w:szCs w:val="18"/>
              </w:rPr>
              <w:t>.”</w:t>
            </w:r>
          </w:p>
          <w:p w:rsidR="003B13A7" w:rsidRPr="003B13A7" w:rsidRDefault="003B13A7" w:rsidP="003B13A7">
            <w:pPr>
              <w:spacing w:before="40" w:after="40"/>
              <w:rPr>
                <w:rFonts w:asciiTheme="minorHAnsi" w:hAnsiTheme="minorHAnsi"/>
                <w:i/>
                <w:sz w:val="18"/>
                <w:szCs w:val="18"/>
              </w:rPr>
            </w:pPr>
            <w:r w:rsidRPr="003B13A7">
              <w:rPr>
                <w:rFonts w:asciiTheme="minorHAnsi" w:hAnsiTheme="minorHAnsi"/>
                <w:sz w:val="18"/>
                <w:szCs w:val="18"/>
              </w:rPr>
              <w:t>If you access patient medical information for research purposes under an IRB-approved HIPAA waiver, you must record and submit records of the dates and purposes of these disclosures to UW Medicine Compliance via the UW Medicine Disclosure Accounting online database.</w:t>
            </w:r>
            <w:r>
              <w:rPr>
                <w:rFonts w:asciiTheme="minorHAnsi" w:hAnsiTheme="minorHAnsi"/>
                <w:sz w:val="18"/>
                <w:szCs w:val="18"/>
              </w:rPr>
              <w:t xml:space="preserve"> </w:t>
            </w:r>
            <w:hyperlink r:id="rId9" w:history="1">
              <w:r w:rsidRPr="003B13A7">
                <w:rPr>
                  <w:rStyle w:val="Hyperlink"/>
                  <w:rFonts w:asciiTheme="minorHAnsi" w:hAnsiTheme="minorHAnsi"/>
                  <w:i/>
                  <w:sz w:val="18"/>
                  <w:szCs w:val="18"/>
                </w:rPr>
                <w:t>http://depts.washington.edu/comply/compliance-programs/hipaa-program/accounting-of-disclosures/</w:t>
              </w:r>
            </w:hyperlink>
            <w:r w:rsidRPr="003B13A7">
              <w:rPr>
                <w:rFonts w:asciiTheme="minorHAnsi" w:hAnsiTheme="minorHAnsi"/>
                <w:i/>
                <w:sz w:val="18"/>
                <w:szCs w:val="18"/>
              </w:rPr>
              <w:t xml:space="preserve">  </w:t>
            </w:r>
          </w:p>
          <w:p w:rsidR="003B13A7" w:rsidRPr="003B13A7" w:rsidRDefault="00A83C2A" w:rsidP="003B13A7">
            <w:pPr>
              <w:spacing w:before="40" w:after="40"/>
              <w:rPr>
                <w:rFonts w:asciiTheme="minorHAnsi" w:hAnsiTheme="minorHAnsi"/>
                <w:i/>
                <w:sz w:val="18"/>
                <w:szCs w:val="18"/>
              </w:rPr>
            </w:pPr>
            <w:hyperlink r:id="rId10" w:history="1">
              <w:r w:rsidR="003B13A7" w:rsidRPr="003B13A7">
                <w:rPr>
                  <w:rStyle w:val="Hyperlink"/>
                  <w:rFonts w:asciiTheme="minorHAnsi" w:hAnsiTheme="minorHAnsi"/>
                  <w:i/>
                  <w:sz w:val="18"/>
                  <w:szCs w:val="18"/>
                </w:rPr>
                <w:t>http://depts.washington.edu/comply/docs/PP_18.pdf</w:t>
              </w:r>
            </w:hyperlink>
            <w:r w:rsidR="003B13A7" w:rsidRPr="003B13A7">
              <w:rPr>
                <w:rFonts w:asciiTheme="minorHAnsi" w:hAnsiTheme="minorHAnsi"/>
                <w:i/>
                <w:sz w:val="18"/>
                <w:szCs w:val="18"/>
              </w:rPr>
              <w:t xml:space="preserve">  </w:t>
            </w:r>
          </w:p>
          <w:p w:rsidR="003B13A7" w:rsidRPr="003B13A7" w:rsidRDefault="00A83C2A" w:rsidP="003B13A7">
            <w:pPr>
              <w:spacing w:before="40" w:after="40"/>
              <w:rPr>
                <w:rFonts w:asciiTheme="minorHAnsi" w:hAnsiTheme="minorHAnsi"/>
                <w:sz w:val="18"/>
                <w:szCs w:val="18"/>
              </w:rPr>
            </w:pPr>
            <w:hyperlink r:id="rId11" w:history="1">
              <w:r w:rsidR="003B13A7" w:rsidRPr="003B13A7">
                <w:rPr>
                  <w:rStyle w:val="Hyperlink"/>
                  <w:rFonts w:asciiTheme="minorHAnsi" w:hAnsiTheme="minorHAnsi"/>
                  <w:i/>
                  <w:sz w:val="18"/>
                  <w:szCs w:val="18"/>
                </w:rPr>
                <w:t>http://depts.washington.edu/comply/docs/PP_25.pdf</w:t>
              </w:r>
            </w:hyperlink>
            <w:r w:rsidR="003B13A7">
              <w:rPr>
                <w:rFonts w:asciiTheme="minorHAnsi" w:hAnsiTheme="minorHAnsi"/>
                <w:sz w:val="18"/>
                <w:szCs w:val="18"/>
              </w:rPr>
              <w:t xml:space="preserve"> </w:t>
            </w:r>
            <w:r w:rsidR="003B13A7" w:rsidRPr="003B13A7">
              <w:rPr>
                <w:rFonts w:asciiTheme="minorHAnsi" w:hAnsiTheme="minorHAnsi"/>
                <w:sz w:val="18"/>
                <w:szCs w:val="18"/>
              </w:rPr>
              <w:t xml:space="preserve"> </w:t>
            </w:r>
          </w:p>
          <w:p w:rsidR="003B13A7" w:rsidRPr="003B13A7" w:rsidRDefault="003B13A7" w:rsidP="003B13A7">
            <w:pPr>
              <w:spacing w:before="40" w:after="40"/>
              <w:rPr>
                <w:rFonts w:asciiTheme="minorHAnsi" w:hAnsiTheme="minorHAnsi"/>
                <w:sz w:val="18"/>
                <w:szCs w:val="18"/>
              </w:rPr>
            </w:pPr>
            <w:r w:rsidRPr="003B13A7">
              <w:rPr>
                <w:rFonts w:asciiTheme="minorHAnsi" w:hAnsiTheme="minorHAnsi"/>
                <w:sz w:val="18"/>
                <w:szCs w:val="18"/>
              </w:rPr>
              <w:t>It may be helpful to talk with an informatics consultant about extracting data from the medical record.</w:t>
            </w:r>
          </w:p>
          <w:p w:rsidR="003B13A7" w:rsidRPr="003B13A7" w:rsidRDefault="00A83C2A" w:rsidP="003B13A7">
            <w:pPr>
              <w:spacing w:before="40" w:after="40"/>
              <w:rPr>
                <w:rFonts w:asciiTheme="minorHAnsi" w:hAnsiTheme="minorHAnsi"/>
                <w:i/>
                <w:sz w:val="18"/>
                <w:szCs w:val="18"/>
              </w:rPr>
            </w:pPr>
            <w:hyperlink r:id="rId12" w:history="1">
              <w:r w:rsidR="003B13A7" w:rsidRPr="003B13A7">
                <w:rPr>
                  <w:rStyle w:val="Hyperlink"/>
                  <w:rFonts w:asciiTheme="minorHAnsi" w:hAnsiTheme="minorHAnsi"/>
                  <w:i/>
                  <w:sz w:val="18"/>
                  <w:szCs w:val="18"/>
                </w:rPr>
                <w:t>https://www.iths.org/investigators/services/bmi/</w:t>
              </w:r>
            </w:hyperlink>
            <w:r w:rsidR="003B13A7" w:rsidRPr="003B13A7">
              <w:rPr>
                <w:rFonts w:asciiTheme="minorHAnsi" w:hAnsiTheme="minorHAnsi"/>
                <w:i/>
                <w:sz w:val="18"/>
                <w:szCs w:val="18"/>
              </w:rPr>
              <w:t xml:space="preserve"> </w:t>
            </w:r>
          </w:p>
        </w:tc>
      </w:tr>
      <w:tr w:rsidR="003B13A7" w:rsidRPr="007C09A3" w:rsidTr="003B13A7">
        <w:tc>
          <w:tcPr>
            <w:tcW w:w="11016" w:type="dxa"/>
            <w:gridSpan w:val="2"/>
            <w:tcBorders>
              <w:top w:val="single" w:sz="4" w:space="0" w:color="auto"/>
            </w:tcBorders>
          </w:tcPr>
          <w:p w:rsidR="003B13A7" w:rsidRPr="00330DED" w:rsidRDefault="003B13A7" w:rsidP="003B13A7">
            <w:pPr>
              <w:spacing w:before="40" w:after="40"/>
              <w:rPr>
                <w:rFonts w:asciiTheme="minorHAnsi" w:hAnsiTheme="minorHAnsi" w:cs="Arial"/>
                <w:sz w:val="18"/>
                <w:szCs w:val="18"/>
              </w:rPr>
            </w:pPr>
            <w:r w:rsidRPr="007C09A3">
              <w:rPr>
                <w:rFonts w:asciiTheme="minorHAnsi" w:hAnsiTheme="minorHAnsi" w:cs="Arial"/>
                <w:sz w:val="18"/>
                <w:szCs w:val="18"/>
              </w:rPr>
              <w:t>NOTES:</w:t>
            </w:r>
          </w:p>
          <w:p w:rsidR="003B13A7" w:rsidRPr="0010441D" w:rsidRDefault="003B13A7" w:rsidP="003B13A7">
            <w:pPr>
              <w:spacing w:before="40" w:after="40"/>
              <w:rPr>
                <w:rFonts w:asciiTheme="minorHAnsi" w:hAnsiTheme="minorHAnsi"/>
                <w:sz w:val="18"/>
                <w:szCs w:val="18"/>
              </w:rPr>
            </w:pPr>
          </w:p>
        </w:tc>
      </w:tr>
      <w:tr w:rsidR="003B13A7" w:rsidRPr="007C09A3" w:rsidTr="009C66E3">
        <w:tc>
          <w:tcPr>
            <w:tcW w:w="1638" w:type="dxa"/>
            <w:tcBorders>
              <w:top w:val="single" w:sz="4" w:space="0" w:color="auto"/>
            </w:tcBorders>
          </w:tcPr>
          <w:p w:rsidR="003B13A7" w:rsidRPr="009D50A6" w:rsidRDefault="003B13A7" w:rsidP="009D50A6">
            <w:pPr>
              <w:spacing w:before="40" w:after="40"/>
              <w:rPr>
                <w:rFonts w:asciiTheme="minorHAnsi" w:hAnsiTheme="minorHAnsi" w:cs="Arial"/>
                <w:b/>
                <w:sz w:val="18"/>
                <w:szCs w:val="18"/>
              </w:rPr>
            </w:pPr>
            <w:r w:rsidRPr="003B13A7">
              <w:rPr>
                <w:rFonts w:asciiTheme="minorHAnsi" w:hAnsiTheme="minorHAnsi" w:cs="Arial"/>
                <w:b/>
                <w:sz w:val="20"/>
                <w:szCs w:val="20"/>
              </w:rPr>
              <w:t>Recruitment and Informed Consent</w:t>
            </w:r>
            <w:r w:rsidRPr="003B13A7">
              <w:rPr>
                <w:rFonts w:asciiTheme="minorHAnsi" w:hAnsiTheme="minorHAnsi" w:cs="Arial"/>
                <w:b/>
                <w:sz w:val="18"/>
                <w:szCs w:val="18"/>
              </w:rPr>
              <w:t xml:space="preserve"> </w:t>
            </w:r>
          </w:p>
        </w:tc>
        <w:tc>
          <w:tcPr>
            <w:tcW w:w="9378" w:type="dxa"/>
            <w:tcBorders>
              <w:top w:val="single" w:sz="4" w:space="0" w:color="auto"/>
            </w:tcBorders>
          </w:tcPr>
          <w:p w:rsidR="009C0BDA" w:rsidRPr="009C0BDA" w:rsidRDefault="009C0BDA" w:rsidP="009C0BDA">
            <w:pPr>
              <w:spacing w:before="40" w:after="40"/>
              <w:rPr>
                <w:rFonts w:asciiTheme="minorHAnsi" w:hAnsiTheme="minorHAnsi"/>
                <w:sz w:val="18"/>
                <w:szCs w:val="18"/>
              </w:rPr>
            </w:pPr>
            <w:r w:rsidRPr="009C0BDA">
              <w:rPr>
                <w:rFonts w:asciiTheme="minorHAnsi" w:hAnsiTheme="minorHAnsi"/>
                <w:sz w:val="18"/>
                <w:szCs w:val="18"/>
              </w:rPr>
              <w:t>Recruitment is often an iterative process.  It is a good idea to document the effectiveness of individual recruitment techniques in case they are not working.  You can use this data to change course later if needed.</w:t>
            </w:r>
          </w:p>
          <w:p w:rsidR="009C0BDA" w:rsidRPr="009C0BDA" w:rsidRDefault="009C0BDA" w:rsidP="009C0BDA">
            <w:pPr>
              <w:spacing w:before="40" w:after="40"/>
              <w:rPr>
                <w:rFonts w:asciiTheme="minorHAnsi" w:hAnsiTheme="minorHAnsi"/>
                <w:sz w:val="18"/>
                <w:szCs w:val="18"/>
              </w:rPr>
            </w:pPr>
            <w:r w:rsidRPr="009C0BDA">
              <w:rPr>
                <w:rFonts w:asciiTheme="minorHAnsi" w:hAnsiTheme="minorHAnsi"/>
                <w:sz w:val="18"/>
                <w:szCs w:val="18"/>
              </w:rPr>
              <w:t>Some funding agencies and industry sponsors require that you submit a list of potential participants screened as part of the recruitment process, along with documentation of why ineligible individuals did not meet study criteria. They may provide you with a screening log to submit, or you may need to create your own (</w:t>
            </w:r>
            <w:hyperlink r:id="rId13" w:history="1">
              <w:r w:rsidRPr="009C0BDA">
                <w:rPr>
                  <w:rStyle w:val="Hyperlink"/>
                  <w:rFonts w:asciiTheme="minorHAnsi" w:hAnsiTheme="minorHAnsi"/>
                  <w:i/>
                  <w:sz w:val="18"/>
                  <w:szCs w:val="18"/>
                </w:rPr>
                <w:t>https://www.iths.org/investigators/forms-templates/study-document-templates/</w:t>
              </w:r>
            </w:hyperlink>
            <w:r w:rsidRPr="009C0BDA">
              <w:rPr>
                <w:rFonts w:asciiTheme="minorHAnsi" w:hAnsiTheme="minorHAnsi"/>
                <w:sz w:val="18"/>
                <w:szCs w:val="18"/>
              </w:rPr>
              <w:t>).</w:t>
            </w:r>
          </w:p>
          <w:p w:rsidR="009C0BDA" w:rsidRPr="009C0BDA" w:rsidRDefault="009C0BDA" w:rsidP="009C0BDA">
            <w:pPr>
              <w:spacing w:before="40" w:after="40"/>
              <w:rPr>
                <w:rFonts w:asciiTheme="minorHAnsi" w:hAnsiTheme="minorHAnsi"/>
                <w:sz w:val="18"/>
                <w:szCs w:val="18"/>
              </w:rPr>
            </w:pPr>
            <w:r w:rsidRPr="009C0BDA">
              <w:rPr>
                <w:rFonts w:asciiTheme="minorHAnsi" w:hAnsiTheme="minorHAnsi"/>
                <w:sz w:val="18"/>
                <w:szCs w:val="18"/>
              </w:rPr>
              <w:t>Once you’ve confirmed that an individual is interested in learning more about the study, you can proceed to conduct informed consent discussion. You will need to obtain documentation of informed consent as required by the IRB-approved consent procedures.  There may be multiple consent and assent forms, along with translated consent forms, depending on the study population.  It may be necessary to tailor your consent discussion for each population involved, and to arrange for interpretation services.</w:t>
            </w:r>
          </w:p>
          <w:p w:rsidR="003B13A7" w:rsidRPr="0010441D" w:rsidRDefault="009C0BDA" w:rsidP="009C0BDA">
            <w:pPr>
              <w:spacing w:before="40" w:after="40"/>
              <w:rPr>
                <w:rFonts w:asciiTheme="minorHAnsi" w:hAnsiTheme="minorHAnsi"/>
                <w:sz w:val="18"/>
                <w:szCs w:val="18"/>
              </w:rPr>
            </w:pPr>
            <w:r w:rsidRPr="009C0BDA">
              <w:rPr>
                <w:rFonts w:asciiTheme="minorHAnsi" w:hAnsiTheme="minorHAnsi"/>
                <w:sz w:val="18"/>
                <w:szCs w:val="18"/>
              </w:rPr>
              <w:t>Provide copies of the signed consent and HIPAA forms to participants, but keep the originals in your files. Check your IRB approval to see if you described how to file documents that contain participant identifiers, and follow the process as approved.</w:t>
            </w:r>
          </w:p>
        </w:tc>
      </w:tr>
      <w:tr w:rsidR="003B13A7" w:rsidRPr="007C09A3" w:rsidTr="003B13A7">
        <w:tc>
          <w:tcPr>
            <w:tcW w:w="11016" w:type="dxa"/>
            <w:gridSpan w:val="2"/>
            <w:tcBorders>
              <w:top w:val="single" w:sz="4" w:space="0" w:color="auto"/>
            </w:tcBorders>
          </w:tcPr>
          <w:p w:rsidR="003B13A7" w:rsidRPr="00330DED" w:rsidRDefault="003B13A7" w:rsidP="003B13A7">
            <w:pPr>
              <w:spacing w:before="40" w:after="40"/>
              <w:rPr>
                <w:rFonts w:asciiTheme="minorHAnsi" w:hAnsiTheme="minorHAnsi" w:cs="Arial"/>
                <w:sz w:val="18"/>
                <w:szCs w:val="18"/>
              </w:rPr>
            </w:pPr>
            <w:r w:rsidRPr="007C09A3">
              <w:rPr>
                <w:rFonts w:asciiTheme="minorHAnsi" w:hAnsiTheme="minorHAnsi" w:cs="Arial"/>
                <w:sz w:val="18"/>
                <w:szCs w:val="18"/>
              </w:rPr>
              <w:t>NOTES:</w:t>
            </w:r>
          </w:p>
          <w:p w:rsidR="003B13A7" w:rsidRPr="0010441D" w:rsidRDefault="003B13A7" w:rsidP="003B13A7">
            <w:pPr>
              <w:spacing w:before="40" w:after="40"/>
              <w:rPr>
                <w:rFonts w:asciiTheme="minorHAnsi" w:hAnsiTheme="minorHAnsi"/>
                <w:sz w:val="18"/>
                <w:szCs w:val="18"/>
              </w:rPr>
            </w:pPr>
          </w:p>
        </w:tc>
      </w:tr>
      <w:tr w:rsidR="003B13A7" w:rsidRPr="007C09A3" w:rsidTr="009C66E3">
        <w:tc>
          <w:tcPr>
            <w:tcW w:w="1638" w:type="dxa"/>
            <w:tcBorders>
              <w:top w:val="single" w:sz="4" w:space="0" w:color="auto"/>
            </w:tcBorders>
          </w:tcPr>
          <w:p w:rsidR="003B13A7" w:rsidRPr="009D50A6" w:rsidRDefault="003B13A7" w:rsidP="009D50A6">
            <w:pPr>
              <w:spacing w:before="40" w:after="40"/>
              <w:rPr>
                <w:rFonts w:asciiTheme="minorHAnsi" w:hAnsiTheme="minorHAnsi" w:cs="Arial"/>
                <w:b/>
                <w:sz w:val="20"/>
                <w:szCs w:val="20"/>
              </w:rPr>
            </w:pPr>
            <w:r w:rsidRPr="003B13A7">
              <w:rPr>
                <w:rFonts w:asciiTheme="minorHAnsi" w:hAnsiTheme="minorHAnsi" w:cs="Arial"/>
                <w:b/>
                <w:sz w:val="20"/>
                <w:szCs w:val="20"/>
              </w:rPr>
              <w:t>Screening to Confirm Eligibility</w:t>
            </w:r>
          </w:p>
        </w:tc>
        <w:tc>
          <w:tcPr>
            <w:tcW w:w="9378" w:type="dxa"/>
            <w:tcBorders>
              <w:top w:val="single" w:sz="4" w:space="0" w:color="auto"/>
            </w:tcBorders>
          </w:tcPr>
          <w:p w:rsidR="009C0BDA" w:rsidRPr="009C0BDA" w:rsidRDefault="009C0BDA" w:rsidP="009C0BDA">
            <w:pPr>
              <w:spacing w:before="40" w:after="40"/>
              <w:rPr>
                <w:rFonts w:asciiTheme="minorHAnsi" w:hAnsiTheme="minorHAnsi"/>
                <w:sz w:val="18"/>
                <w:szCs w:val="18"/>
              </w:rPr>
            </w:pPr>
            <w:r w:rsidRPr="009C0BDA">
              <w:rPr>
                <w:rFonts w:asciiTheme="minorHAnsi" w:hAnsiTheme="minorHAnsi"/>
                <w:sz w:val="18"/>
                <w:szCs w:val="18"/>
              </w:rPr>
              <w:t>Once a participant has provided informed consent for your study, check their information against the eligibility criteria to ensure they continue to qualify to participate in the study.  If still eligible, proceed with any protocol-required screening procedures.</w:t>
            </w:r>
            <w:r>
              <w:rPr>
                <w:rFonts w:asciiTheme="minorHAnsi" w:hAnsiTheme="minorHAnsi"/>
                <w:sz w:val="18"/>
                <w:szCs w:val="18"/>
              </w:rPr>
              <w:t xml:space="preserve"> </w:t>
            </w:r>
            <w:r w:rsidRPr="009C0BDA">
              <w:rPr>
                <w:rFonts w:asciiTheme="minorHAnsi" w:hAnsiTheme="minorHAnsi"/>
                <w:sz w:val="18"/>
                <w:szCs w:val="18"/>
              </w:rPr>
              <w:t xml:space="preserve">Once you confirm the participant can continue in the study, you can assign them a study ID code.  </w:t>
            </w:r>
          </w:p>
          <w:p w:rsidR="009C0BDA" w:rsidRPr="009C0BDA" w:rsidRDefault="009C0BDA" w:rsidP="009C0BDA">
            <w:pPr>
              <w:spacing w:before="40" w:after="40"/>
              <w:rPr>
                <w:rFonts w:asciiTheme="minorHAnsi" w:hAnsiTheme="minorHAnsi"/>
                <w:sz w:val="18"/>
                <w:szCs w:val="18"/>
              </w:rPr>
            </w:pPr>
            <w:r w:rsidRPr="009C0BDA">
              <w:rPr>
                <w:rFonts w:asciiTheme="minorHAnsi" w:hAnsiTheme="minorHAnsi"/>
                <w:sz w:val="18"/>
                <w:szCs w:val="18"/>
              </w:rPr>
              <w:t>If CRBB was involved in finalizing your budget, notify CRBB of subject enrollmen</w:t>
            </w:r>
            <w:r w:rsidR="00E40801">
              <w:rPr>
                <w:rFonts w:asciiTheme="minorHAnsi" w:hAnsiTheme="minorHAnsi"/>
                <w:sz w:val="18"/>
                <w:szCs w:val="18"/>
              </w:rPr>
              <w:t xml:space="preserve">t (this process is covered in the Epic RES110 course, but questions about how to do this can be directed to </w:t>
            </w:r>
            <w:hyperlink r:id="rId14" w:history="1">
              <w:r w:rsidR="00E40801" w:rsidRPr="002604D2">
                <w:rPr>
                  <w:rStyle w:val="Hyperlink"/>
                  <w:rFonts w:asciiTheme="minorHAnsi" w:hAnsiTheme="minorHAnsi"/>
                  <w:sz w:val="18"/>
                  <w:szCs w:val="18"/>
                </w:rPr>
                <w:t>crbb@uw.edu</w:t>
              </w:r>
            </w:hyperlink>
            <w:r w:rsidR="00E40801">
              <w:rPr>
                <w:rFonts w:asciiTheme="minorHAnsi" w:hAnsiTheme="minorHAnsi"/>
                <w:sz w:val="18"/>
                <w:szCs w:val="18"/>
              </w:rPr>
              <w:t>)</w:t>
            </w:r>
          </w:p>
          <w:p w:rsidR="003B13A7" w:rsidRPr="0010441D" w:rsidRDefault="009C0BDA" w:rsidP="009C0BDA">
            <w:pPr>
              <w:spacing w:before="40" w:after="40"/>
              <w:rPr>
                <w:rFonts w:asciiTheme="minorHAnsi" w:hAnsiTheme="minorHAnsi"/>
                <w:sz w:val="18"/>
                <w:szCs w:val="18"/>
              </w:rPr>
            </w:pPr>
            <w:r w:rsidRPr="009C0BDA">
              <w:rPr>
                <w:rFonts w:asciiTheme="minorHAnsi" w:hAnsiTheme="minorHAnsi"/>
                <w:sz w:val="18"/>
                <w:szCs w:val="18"/>
              </w:rPr>
              <w:t xml:space="preserve">If you are working with an industry sponsor, you may </w:t>
            </w:r>
            <w:r w:rsidR="00E40801">
              <w:rPr>
                <w:rFonts w:asciiTheme="minorHAnsi" w:hAnsiTheme="minorHAnsi"/>
                <w:sz w:val="18"/>
                <w:szCs w:val="18"/>
              </w:rPr>
              <w:t xml:space="preserve">also </w:t>
            </w:r>
            <w:r w:rsidRPr="009C0BDA">
              <w:rPr>
                <w:rFonts w:asciiTheme="minorHAnsi" w:hAnsiTheme="minorHAnsi"/>
                <w:sz w:val="18"/>
                <w:szCs w:val="18"/>
              </w:rPr>
              <w:t>need to notify them of enrollment and discuss study invoicing needs with your department fiscal specialist.</w:t>
            </w:r>
          </w:p>
        </w:tc>
      </w:tr>
      <w:tr w:rsidR="003B13A7" w:rsidRPr="007C09A3" w:rsidTr="003B13A7">
        <w:tc>
          <w:tcPr>
            <w:tcW w:w="11016" w:type="dxa"/>
            <w:gridSpan w:val="2"/>
            <w:tcBorders>
              <w:top w:val="single" w:sz="4" w:space="0" w:color="auto"/>
            </w:tcBorders>
          </w:tcPr>
          <w:p w:rsidR="003B13A7" w:rsidRPr="00330DED" w:rsidRDefault="003B13A7" w:rsidP="003B13A7">
            <w:pPr>
              <w:spacing w:before="40" w:after="40"/>
              <w:rPr>
                <w:rFonts w:asciiTheme="minorHAnsi" w:hAnsiTheme="minorHAnsi" w:cs="Arial"/>
                <w:sz w:val="18"/>
                <w:szCs w:val="18"/>
              </w:rPr>
            </w:pPr>
            <w:r w:rsidRPr="007C09A3">
              <w:rPr>
                <w:rFonts w:asciiTheme="minorHAnsi" w:hAnsiTheme="minorHAnsi" w:cs="Arial"/>
                <w:sz w:val="18"/>
                <w:szCs w:val="18"/>
              </w:rPr>
              <w:t>NOTES:</w:t>
            </w:r>
          </w:p>
          <w:p w:rsidR="003B13A7" w:rsidRPr="0010441D" w:rsidRDefault="003B13A7" w:rsidP="003B13A7">
            <w:pPr>
              <w:spacing w:before="40" w:after="40"/>
              <w:rPr>
                <w:rFonts w:asciiTheme="minorHAnsi" w:hAnsiTheme="minorHAnsi"/>
                <w:sz w:val="18"/>
                <w:szCs w:val="18"/>
              </w:rPr>
            </w:pPr>
          </w:p>
        </w:tc>
      </w:tr>
      <w:tr w:rsidR="00330DED" w:rsidRPr="007C09A3" w:rsidTr="009C66E3">
        <w:tc>
          <w:tcPr>
            <w:tcW w:w="1638" w:type="dxa"/>
            <w:tcBorders>
              <w:top w:val="single" w:sz="4" w:space="0" w:color="auto"/>
            </w:tcBorders>
          </w:tcPr>
          <w:p w:rsidR="009C66E3" w:rsidRPr="009D50A6" w:rsidRDefault="00330DED" w:rsidP="009D50A6">
            <w:pPr>
              <w:spacing w:before="40" w:after="40"/>
              <w:rPr>
                <w:rFonts w:asciiTheme="minorHAnsi" w:hAnsiTheme="minorHAnsi" w:cs="Arial"/>
                <w:b/>
                <w:sz w:val="20"/>
                <w:szCs w:val="20"/>
              </w:rPr>
            </w:pPr>
            <w:r w:rsidRPr="007C09A3">
              <w:rPr>
                <w:rFonts w:asciiTheme="minorHAnsi" w:hAnsiTheme="minorHAnsi" w:cs="Arial"/>
                <w:b/>
                <w:sz w:val="20"/>
                <w:szCs w:val="20"/>
              </w:rPr>
              <w:t>Budget and Contract Finalized</w:t>
            </w:r>
          </w:p>
        </w:tc>
        <w:tc>
          <w:tcPr>
            <w:tcW w:w="9378" w:type="dxa"/>
            <w:tcBorders>
              <w:top w:val="single" w:sz="4" w:space="0" w:color="auto"/>
            </w:tcBorders>
          </w:tcPr>
          <w:p w:rsidR="00330DED" w:rsidRPr="0010441D" w:rsidRDefault="00330DED" w:rsidP="003B13A7">
            <w:pPr>
              <w:spacing w:before="40" w:after="40"/>
              <w:rPr>
                <w:rFonts w:asciiTheme="minorHAnsi" w:hAnsiTheme="minorHAnsi"/>
                <w:sz w:val="18"/>
                <w:szCs w:val="18"/>
              </w:rPr>
            </w:pPr>
            <w:r w:rsidRPr="0010441D">
              <w:rPr>
                <w:rFonts w:asciiTheme="minorHAnsi" w:hAnsiTheme="minorHAnsi"/>
                <w:sz w:val="18"/>
                <w:szCs w:val="18"/>
              </w:rPr>
              <w:t xml:space="preserve">The UW Office of Sponsored Programs (OSP) negotiates and executes Clinical Trial Agreements (CTA). The contract must be signed by OSP and the PI.  </w:t>
            </w:r>
            <w:hyperlink r:id="rId15" w:history="1">
              <w:r w:rsidR="009C66E3" w:rsidRPr="0010441D">
                <w:rPr>
                  <w:rStyle w:val="Hyperlink"/>
                  <w:rFonts w:asciiTheme="minorHAnsi" w:hAnsiTheme="minorHAnsi"/>
                  <w:i/>
                  <w:sz w:val="18"/>
                  <w:szCs w:val="18"/>
                </w:rPr>
                <w:t>http://depts.washington.edu/comply/docs/COM-101_Policy.pdf</w:t>
              </w:r>
            </w:hyperlink>
          </w:p>
          <w:p w:rsidR="00330DED" w:rsidRPr="0010441D" w:rsidRDefault="00330DED" w:rsidP="003B13A7">
            <w:pPr>
              <w:spacing w:before="40" w:after="40"/>
              <w:rPr>
                <w:rFonts w:asciiTheme="minorHAnsi" w:hAnsiTheme="minorHAnsi"/>
                <w:sz w:val="18"/>
                <w:szCs w:val="18"/>
              </w:rPr>
            </w:pPr>
            <w:r w:rsidRPr="0010441D">
              <w:rPr>
                <w:rFonts w:asciiTheme="minorHAnsi" w:hAnsiTheme="minorHAnsi"/>
                <w:sz w:val="18"/>
                <w:szCs w:val="18"/>
              </w:rPr>
              <w:t xml:space="preserve">Once you’ve reviewed what the sponsor has sent you, forward the protocol, consent form, draft budget, and CTA to OSP via an eGC1.  OSP and CRBB will negotiate the CTA and budget concurrently.  This process may take a couple weeks to a couple months. </w:t>
            </w:r>
            <w:r w:rsidR="009C66E3">
              <w:rPr>
                <w:rFonts w:asciiTheme="minorHAnsi" w:hAnsiTheme="minorHAnsi"/>
                <w:sz w:val="18"/>
                <w:szCs w:val="18"/>
              </w:rPr>
              <w:t>Resources:</w:t>
            </w:r>
          </w:p>
          <w:p w:rsidR="00330DED" w:rsidRPr="0010441D" w:rsidRDefault="00A83C2A" w:rsidP="003B13A7">
            <w:pPr>
              <w:spacing w:before="40" w:after="40"/>
              <w:rPr>
                <w:rFonts w:asciiTheme="minorHAnsi" w:hAnsiTheme="minorHAnsi"/>
                <w:i/>
                <w:sz w:val="18"/>
                <w:szCs w:val="18"/>
              </w:rPr>
            </w:pPr>
            <w:hyperlink r:id="rId16" w:history="1">
              <w:r w:rsidR="00330DED" w:rsidRPr="0010441D">
                <w:rPr>
                  <w:rStyle w:val="Hyperlink"/>
                  <w:rFonts w:asciiTheme="minorHAnsi" w:hAnsiTheme="minorHAnsi"/>
                  <w:i/>
                  <w:sz w:val="18"/>
                  <w:szCs w:val="18"/>
                </w:rPr>
                <w:t>http://www.washington.edu/research/main.php?page=industryAgreements</w:t>
              </w:r>
            </w:hyperlink>
          </w:p>
          <w:p w:rsidR="00330DED" w:rsidRPr="009C66E3" w:rsidRDefault="00A83C2A" w:rsidP="003B13A7">
            <w:pPr>
              <w:spacing w:before="40" w:after="40"/>
              <w:rPr>
                <w:rFonts w:asciiTheme="minorHAnsi" w:hAnsiTheme="minorHAnsi"/>
                <w:i/>
                <w:color w:val="0000FF" w:themeColor="hyperlink"/>
                <w:sz w:val="18"/>
                <w:szCs w:val="18"/>
                <w:u w:val="single"/>
              </w:rPr>
            </w:pPr>
            <w:hyperlink r:id="rId17" w:history="1">
              <w:r w:rsidR="00330DED" w:rsidRPr="0010441D">
                <w:rPr>
                  <w:rStyle w:val="Hyperlink"/>
                  <w:rFonts w:asciiTheme="minorHAnsi" w:hAnsiTheme="minorHAnsi"/>
                  <w:i/>
                  <w:sz w:val="18"/>
                  <w:szCs w:val="18"/>
                </w:rPr>
                <w:t>http://www.washington.edu/research/main.php?page=agreementGuide</w:t>
              </w:r>
            </w:hyperlink>
          </w:p>
        </w:tc>
      </w:tr>
      <w:tr w:rsidR="00330DED" w:rsidRPr="007C09A3" w:rsidTr="009C66E3">
        <w:tc>
          <w:tcPr>
            <w:tcW w:w="11016" w:type="dxa"/>
            <w:gridSpan w:val="2"/>
          </w:tcPr>
          <w:p w:rsidR="00330DED" w:rsidRPr="00330DED" w:rsidRDefault="00330DED" w:rsidP="003B13A7">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3B13A7">
            <w:pPr>
              <w:spacing w:before="40" w:after="40"/>
              <w:rPr>
                <w:rFonts w:asciiTheme="minorHAnsi" w:hAnsiTheme="minorHAnsi" w:cs="Arial"/>
                <w:b/>
                <w:sz w:val="20"/>
                <w:szCs w:val="20"/>
              </w:rPr>
            </w:pPr>
          </w:p>
        </w:tc>
      </w:tr>
      <w:tr w:rsidR="003B13A7" w:rsidRPr="007C09A3" w:rsidTr="003B13A7">
        <w:tc>
          <w:tcPr>
            <w:tcW w:w="11016" w:type="dxa"/>
            <w:gridSpan w:val="2"/>
            <w:shd w:val="clear" w:color="auto" w:fill="D9D9D9" w:themeFill="background1" w:themeFillShade="D9"/>
          </w:tcPr>
          <w:p w:rsidR="003B13A7" w:rsidRPr="003B13A7" w:rsidRDefault="003B13A7" w:rsidP="003B13A7">
            <w:pPr>
              <w:spacing w:before="40" w:after="40"/>
              <w:jc w:val="center"/>
              <w:rPr>
                <w:rFonts w:asciiTheme="minorHAnsi" w:hAnsiTheme="minorHAnsi" w:cs="Arial"/>
                <w:b/>
                <w:sz w:val="18"/>
                <w:szCs w:val="18"/>
              </w:rPr>
            </w:pPr>
            <w:r w:rsidRPr="003B13A7">
              <w:rPr>
                <w:rFonts w:asciiTheme="minorHAnsi" w:hAnsiTheme="minorHAnsi" w:cs="Arial"/>
                <w:b/>
                <w:sz w:val="18"/>
                <w:szCs w:val="18"/>
              </w:rPr>
              <w:lastRenderedPageBreak/>
              <w:t>RESEARCH VISITS AND DATA CAPTURE</w:t>
            </w:r>
          </w:p>
        </w:tc>
      </w:tr>
      <w:tr w:rsidR="00330DED" w:rsidRPr="007C09A3" w:rsidTr="009C66E3">
        <w:tc>
          <w:tcPr>
            <w:tcW w:w="1638" w:type="dxa"/>
            <w:tcBorders>
              <w:top w:val="nil"/>
            </w:tcBorders>
          </w:tcPr>
          <w:p w:rsidR="009C66E3" w:rsidRPr="009D50A6" w:rsidRDefault="00307228" w:rsidP="009D50A6">
            <w:pPr>
              <w:spacing w:before="40" w:after="40"/>
              <w:rPr>
                <w:rFonts w:asciiTheme="minorHAnsi" w:hAnsiTheme="minorHAnsi" w:cs="Arial"/>
                <w:b/>
                <w:sz w:val="20"/>
                <w:szCs w:val="20"/>
              </w:rPr>
            </w:pPr>
            <w:r w:rsidRPr="00307228">
              <w:rPr>
                <w:rFonts w:asciiTheme="minorHAnsi" w:hAnsiTheme="minorHAnsi" w:cs="Arial"/>
                <w:b/>
                <w:sz w:val="20"/>
                <w:szCs w:val="20"/>
              </w:rPr>
              <w:t>Study Visits</w:t>
            </w:r>
          </w:p>
        </w:tc>
        <w:tc>
          <w:tcPr>
            <w:tcW w:w="9378" w:type="dxa"/>
            <w:tcBorders>
              <w:top w:val="nil"/>
            </w:tcBorders>
          </w:tcPr>
          <w:p w:rsidR="00B01121" w:rsidRPr="00307228" w:rsidRDefault="00307228" w:rsidP="003B13A7">
            <w:pPr>
              <w:spacing w:before="40" w:after="40"/>
              <w:rPr>
                <w:rFonts w:asciiTheme="minorHAnsi" w:hAnsiTheme="minorHAnsi"/>
                <w:sz w:val="18"/>
                <w:szCs w:val="18"/>
              </w:rPr>
            </w:pPr>
            <w:r w:rsidRPr="00307228">
              <w:rPr>
                <w:rFonts w:asciiTheme="minorHAnsi" w:hAnsiTheme="minorHAnsi"/>
                <w:sz w:val="18"/>
                <w:szCs w:val="18"/>
              </w:rPr>
              <w:t>Schedule and conduct study visits and research activities per the IRB-approved protocol.  Work with service providers and facilities to support intervention and data collection needs</w:t>
            </w:r>
            <w:r>
              <w:rPr>
                <w:rFonts w:asciiTheme="minorHAnsi" w:hAnsiTheme="minorHAnsi"/>
                <w:sz w:val="18"/>
                <w:szCs w:val="18"/>
              </w:rPr>
              <w:t xml:space="preserve"> (see Pre-Study Initiation Checklist sections “Training/Credentialing,” “</w:t>
            </w:r>
            <w:r w:rsidR="00B01121" w:rsidRPr="00B01121">
              <w:rPr>
                <w:rFonts w:asciiTheme="minorHAnsi" w:hAnsiTheme="minorHAnsi"/>
                <w:sz w:val="18"/>
                <w:szCs w:val="18"/>
              </w:rPr>
              <w:t>Confirm Research Support Services and Facilities</w:t>
            </w:r>
            <w:r w:rsidR="00B01121">
              <w:rPr>
                <w:rFonts w:asciiTheme="minorHAnsi" w:hAnsiTheme="minorHAnsi"/>
                <w:sz w:val="18"/>
                <w:szCs w:val="18"/>
              </w:rPr>
              <w:t>,” “</w:t>
            </w:r>
            <w:r w:rsidR="00B01121" w:rsidRPr="00B01121">
              <w:rPr>
                <w:rFonts w:asciiTheme="minorHAnsi" w:hAnsiTheme="minorHAnsi"/>
                <w:sz w:val="18"/>
                <w:szCs w:val="18"/>
              </w:rPr>
              <w:t>Research Instrument Validation and Calibration</w:t>
            </w:r>
            <w:r w:rsidR="00B01121">
              <w:rPr>
                <w:rFonts w:asciiTheme="minorHAnsi" w:hAnsiTheme="minorHAnsi"/>
                <w:sz w:val="18"/>
                <w:szCs w:val="18"/>
              </w:rPr>
              <w:t>,” and “</w:t>
            </w:r>
            <w:r w:rsidR="00B01121" w:rsidRPr="00B01121">
              <w:rPr>
                <w:rFonts w:asciiTheme="minorHAnsi" w:hAnsiTheme="minorHAnsi"/>
                <w:sz w:val="18"/>
                <w:szCs w:val="18"/>
              </w:rPr>
              <w:t>Arranging Compensation for Research Participants</w:t>
            </w:r>
            <w:r w:rsidR="00B01121">
              <w:rPr>
                <w:rFonts w:asciiTheme="minorHAnsi" w:hAnsiTheme="minorHAnsi"/>
                <w:sz w:val="18"/>
                <w:szCs w:val="18"/>
              </w:rPr>
              <w:t>.”)</w:t>
            </w:r>
            <w:r w:rsidR="00B01121" w:rsidRPr="00307228">
              <w:rPr>
                <w:rFonts w:asciiTheme="minorHAnsi" w:hAnsiTheme="minorHAnsi"/>
                <w:sz w:val="18"/>
                <w:szCs w:val="18"/>
              </w:rPr>
              <w:t xml:space="preserve"> </w:t>
            </w:r>
          </w:p>
        </w:tc>
      </w:tr>
      <w:tr w:rsidR="00330DED" w:rsidRPr="007C09A3" w:rsidTr="009C66E3">
        <w:tc>
          <w:tcPr>
            <w:tcW w:w="11016" w:type="dxa"/>
            <w:gridSpan w:val="2"/>
          </w:tcPr>
          <w:p w:rsidR="00330DED" w:rsidRPr="00330DED" w:rsidRDefault="00330DED" w:rsidP="003B13A7">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3B13A7">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9D50A6" w:rsidRDefault="00307228" w:rsidP="009D50A6">
            <w:pPr>
              <w:spacing w:before="40" w:after="40"/>
              <w:rPr>
                <w:rFonts w:asciiTheme="minorHAnsi" w:hAnsiTheme="minorHAnsi" w:cs="Arial"/>
                <w:b/>
                <w:sz w:val="20"/>
                <w:szCs w:val="20"/>
              </w:rPr>
            </w:pPr>
            <w:r w:rsidRPr="00307228">
              <w:rPr>
                <w:rFonts w:asciiTheme="minorHAnsi" w:hAnsiTheme="minorHAnsi" w:cs="Arial"/>
                <w:b/>
                <w:sz w:val="20"/>
                <w:szCs w:val="20"/>
              </w:rPr>
              <w:t>Data Capture</w:t>
            </w:r>
          </w:p>
        </w:tc>
        <w:tc>
          <w:tcPr>
            <w:tcW w:w="9378" w:type="dxa"/>
            <w:tcBorders>
              <w:top w:val="nil"/>
            </w:tcBorders>
          </w:tcPr>
          <w:p w:rsidR="00330DED" w:rsidRPr="00307228" w:rsidRDefault="00307228" w:rsidP="003B13A7">
            <w:pPr>
              <w:spacing w:before="40" w:after="40"/>
              <w:rPr>
                <w:rFonts w:ascii="Calibri" w:hAnsi="Calibri"/>
                <w:sz w:val="18"/>
                <w:szCs w:val="18"/>
              </w:rPr>
            </w:pPr>
            <w:r w:rsidRPr="00307228">
              <w:rPr>
                <w:rFonts w:ascii="Calibri" w:hAnsi="Calibri"/>
                <w:sz w:val="18"/>
                <w:szCs w:val="18"/>
              </w:rPr>
              <w:t xml:space="preserve">To complete Case Report Forms (CRFs), capture study visit documentation from participants’ medical records, and evaluation instruments and questionnaires. Enter study data into your data management system, which might be an </w:t>
            </w:r>
            <w:proofErr w:type="spellStart"/>
            <w:r w:rsidRPr="00307228">
              <w:rPr>
                <w:rFonts w:ascii="Calibri" w:hAnsi="Calibri"/>
                <w:sz w:val="18"/>
                <w:szCs w:val="18"/>
              </w:rPr>
              <w:t>eCRF</w:t>
            </w:r>
            <w:proofErr w:type="spellEnd"/>
            <w:r w:rsidRPr="00307228">
              <w:rPr>
                <w:rFonts w:ascii="Calibri" w:hAnsi="Calibri"/>
                <w:sz w:val="18"/>
                <w:szCs w:val="18"/>
              </w:rPr>
              <w:t xml:space="preserve"> or a custom database created in REDCap, Excel, or Access.</w:t>
            </w:r>
            <w:r>
              <w:rPr>
                <w:rFonts w:ascii="Calibri" w:hAnsi="Calibri"/>
                <w:sz w:val="18"/>
                <w:szCs w:val="18"/>
              </w:rPr>
              <w:t xml:space="preserve">  </w:t>
            </w:r>
            <w:hyperlink r:id="rId18" w:history="1">
              <w:r w:rsidRPr="002604D2">
                <w:rPr>
                  <w:rStyle w:val="Hyperlink"/>
                  <w:rFonts w:ascii="Calibri" w:hAnsi="Calibri"/>
                  <w:sz w:val="18"/>
                  <w:szCs w:val="18"/>
                </w:rPr>
                <w:t>https://www.iths.org/investigators/services/bmi/redcap/</w:t>
              </w:r>
            </w:hyperlink>
            <w:r>
              <w:rPr>
                <w:rFonts w:ascii="Calibri" w:hAnsi="Calibri"/>
                <w:sz w:val="18"/>
                <w:szCs w:val="18"/>
              </w:rPr>
              <w:t xml:space="preserve"> </w:t>
            </w:r>
          </w:p>
        </w:tc>
      </w:tr>
      <w:tr w:rsidR="00330DED" w:rsidRPr="007C09A3" w:rsidTr="009C66E3">
        <w:tc>
          <w:tcPr>
            <w:tcW w:w="11016" w:type="dxa"/>
            <w:gridSpan w:val="2"/>
          </w:tcPr>
          <w:p w:rsidR="00330DED" w:rsidRPr="00330DED" w:rsidRDefault="00330DED" w:rsidP="003B13A7">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3B13A7">
            <w:pPr>
              <w:spacing w:before="40" w:after="40"/>
              <w:rPr>
                <w:rFonts w:asciiTheme="minorHAnsi" w:hAnsiTheme="minorHAnsi" w:cs="Arial"/>
                <w:b/>
                <w:sz w:val="20"/>
                <w:szCs w:val="20"/>
              </w:rPr>
            </w:pPr>
          </w:p>
        </w:tc>
      </w:tr>
      <w:tr w:rsidR="00330DED" w:rsidRPr="007C09A3" w:rsidTr="009C66E3">
        <w:tc>
          <w:tcPr>
            <w:tcW w:w="1638" w:type="dxa"/>
            <w:tcBorders>
              <w:top w:val="nil"/>
            </w:tcBorders>
          </w:tcPr>
          <w:p w:rsidR="009C66E3" w:rsidRPr="009D50A6" w:rsidRDefault="00307228" w:rsidP="009D50A6">
            <w:pPr>
              <w:spacing w:before="40" w:after="40"/>
              <w:rPr>
                <w:rFonts w:asciiTheme="minorHAnsi" w:hAnsiTheme="minorHAnsi" w:cs="Arial"/>
                <w:b/>
                <w:sz w:val="20"/>
                <w:szCs w:val="20"/>
              </w:rPr>
            </w:pPr>
            <w:r w:rsidRPr="00307228">
              <w:rPr>
                <w:rFonts w:asciiTheme="minorHAnsi" w:hAnsiTheme="minorHAnsi" w:cs="Arial"/>
                <w:b/>
                <w:sz w:val="20"/>
                <w:szCs w:val="20"/>
              </w:rPr>
              <w:t>Specimens</w:t>
            </w:r>
          </w:p>
        </w:tc>
        <w:tc>
          <w:tcPr>
            <w:tcW w:w="9378" w:type="dxa"/>
            <w:tcBorders>
              <w:top w:val="nil"/>
            </w:tcBorders>
          </w:tcPr>
          <w:p w:rsidR="00330DED" w:rsidRDefault="00307228" w:rsidP="003B13A7">
            <w:pPr>
              <w:spacing w:before="40" w:after="40"/>
              <w:rPr>
                <w:rFonts w:asciiTheme="minorHAnsi" w:hAnsiTheme="minorHAnsi" w:cs="Arial"/>
                <w:sz w:val="18"/>
                <w:szCs w:val="18"/>
              </w:rPr>
            </w:pPr>
            <w:r w:rsidRPr="00307228">
              <w:rPr>
                <w:rFonts w:asciiTheme="minorHAnsi" w:hAnsiTheme="minorHAnsi" w:cs="Arial"/>
                <w:sz w:val="18"/>
                <w:szCs w:val="18"/>
              </w:rPr>
              <w:t>Many studies include collection and/or analysis of specimens, like blood, urine, and/or tissue. Be sure to follow both protocol and institutional requirements for collecting, processing, shipping, analysis, and storage of study specimens.</w:t>
            </w:r>
            <w:r>
              <w:rPr>
                <w:rFonts w:asciiTheme="minorHAnsi" w:hAnsiTheme="minorHAnsi" w:cs="Arial"/>
                <w:sz w:val="18"/>
                <w:szCs w:val="18"/>
              </w:rPr>
              <w:t xml:space="preserve"> </w:t>
            </w:r>
          </w:p>
          <w:p w:rsidR="00307228" w:rsidRDefault="00A83C2A" w:rsidP="003B13A7">
            <w:pPr>
              <w:spacing w:before="40" w:after="40"/>
              <w:rPr>
                <w:rFonts w:asciiTheme="minorHAnsi" w:hAnsiTheme="minorHAnsi" w:cs="Arial"/>
                <w:i/>
                <w:sz w:val="18"/>
                <w:szCs w:val="18"/>
              </w:rPr>
            </w:pPr>
            <w:hyperlink r:id="rId19" w:history="1">
              <w:r w:rsidR="00307228" w:rsidRPr="002604D2">
                <w:rPr>
                  <w:rStyle w:val="Hyperlink"/>
                  <w:rFonts w:asciiTheme="minorHAnsi" w:hAnsiTheme="minorHAnsi" w:cs="Arial"/>
                  <w:i/>
                  <w:sz w:val="18"/>
                  <w:szCs w:val="18"/>
                </w:rPr>
                <w:t>https://www.ehs.washington.edu/rbs/bbp.shtm</w:t>
              </w:r>
            </w:hyperlink>
            <w:r w:rsidR="00307228">
              <w:rPr>
                <w:rFonts w:asciiTheme="minorHAnsi" w:hAnsiTheme="minorHAnsi" w:cs="Arial"/>
                <w:i/>
                <w:sz w:val="18"/>
                <w:szCs w:val="18"/>
              </w:rPr>
              <w:t xml:space="preserve"> </w:t>
            </w:r>
          </w:p>
          <w:p w:rsidR="00307228" w:rsidRPr="0010441D" w:rsidRDefault="00A83C2A" w:rsidP="003B13A7">
            <w:pPr>
              <w:spacing w:before="40" w:after="40"/>
              <w:rPr>
                <w:rFonts w:asciiTheme="minorHAnsi" w:hAnsiTheme="minorHAnsi" w:cs="Arial"/>
                <w:i/>
                <w:sz w:val="18"/>
                <w:szCs w:val="18"/>
              </w:rPr>
            </w:pPr>
            <w:hyperlink r:id="rId20" w:history="1">
              <w:r w:rsidR="00307228" w:rsidRPr="007C09A3">
                <w:rPr>
                  <w:rStyle w:val="Hyperlink"/>
                  <w:rFonts w:asciiTheme="minorHAnsi" w:hAnsiTheme="minorHAnsi" w:cs="Arial"/>
                  <w:i/>
                  <w:sz w:val="18"/>
                  <w:szCs w:val="18"/>
                </w:rPr>
                <w:t>https://www.ehs.washington.edu/eposhiphazmat/</w:t>
              </w:r>
            </w:hyperlink>
          </w:p>
        </w:tc>
      </w:tr>
      <w:tr w:rsidR="00330DED" w:rsidRPr="007C09A3" w:rsidTr="009C66E3">
        <w:tc>
          <w:tcPr>
            <w:tcW w:w="11016" w:type="dxa"/>
            <w:gridSpan w:val="2"/>
          </w:tcPr>
          <w:p w:rsidR="00330DED" w:rsidRPr="007C09A3" w:rsidRDefault="00330DED" w:rsidP="003B13A7">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3B13A7">
            <w:pPr>
              <w:spacing w:before="40" w:after="40"/>
              <w:rPr>
                <w:rFonts w:asciiTheme="minorHAnsi" w:hAnsiTheme="minorHAnsi" w:cs="Arial"/>
                <w:b/>
                <w:sz w:val="20"/>
                <w:szCs w:val="20"/>
              </w:rPr>
            </w:pPr>
          </w:p>
        </w:tc>
      </w:tr>
      <w:tr w:rsidR="00330DED" w:rsidRPr="007C09A3" w:rsidTr="009C66E3">
        <w:tc>
          <w:tcPr>
            <w:tcW w:w="11016" w:type="dxa"/>
            <w:gridSpan w:val="2"/>
            <w:shd w:val="clear" w:color="auto" w:fill="D9D9D9" w:themeFill="background1" w:themeFillShade="D9"/>
          </w:tcPr>
          <w:p w:rsidR="00330DED" w:rsidRPr="003B13A7" w:rsidRDefault="00FB1111" w:rsidP="003B13A7">
            <w:pPr>
              <w:spacing w:before="40" w:after="40"/>
              <w:jc w:val="center"/>
              <w:rPr>
                <w:rFonts w:asciiTheme="minorHAnsi" w:hAnsiTheme="minorHAnsi" w:cs="Arial"/>
                <w:b/>
                <w:sz w:val="18"/>
                <w:szCs w:val="18"/>
              </w:rPr>
            </w:pPr>
            <w:r w:rsidRPr="003B13A7">
              <w:rPr>
                <w:rFonts w:asciiTheme="minorHAnsi" w:hAnsiTheme="minorHAnsi" w:cs="Arial"/>
                <w:b/>
                <w:sz w:val="18"/>
                <w:szCs w:val="18"/>
              </w:rPr>
              <w:t>MAINTAIN REGULATORY AND FINANCIAL RECORDS</w:t>
            </w:r>
          </w:p>
        </w:tc>
      </w:tr>
      <w:tr w:rsidR="00330DED" w:rsidRPr="007C09A3" w:rsidTr="009C66E3">
        <w:tc>
          <w:tcPr>
            <w:tcW w:w="1638" w:type="dxa"/>
            <w:tcBorders>
              <w:top w:val="nil"/>
            </w:tcBorders>
          </w:tcPr>
          <w:p w:rsidR="009C66E3" w:rsidRPr="009D50A6" w:rsidRDefault="00FB1111" w:rsidP="009D50A6">
            <w:pPr>
              <w:spacing w:before="40" w:after="40"/>
              <w:rPr>
                <w:rFonts w:asciiTheme="minorHAnsi" w:hAnsiTheme="minorHAnsi" w:cs="Arial"/>
                <w:b/>
                <w:sz w:val="20"/>
                <w:szCs w:val="20"/>
              </w:rPr>
            </w:pPr>
            <w:r w:rsidRPr="00FB1111">
              <w:rPr>
                <w:rFonts w:asciiTheme="minorHAnsi" w:hAnsiTheme="minorHAnsi" w:cs="Arial"/>
                <w:b/>
                <w:sz w:val="20"/>
                <w:szCs w:val="20"/>
              </w:rPr>
              <w:t>Problem Reports (Deviations and Adverse Events)</w:t>
            </w:r>
          </w:p>
        </w:tc>
        <w:tc>
          <w:tcPr>
            <w:tcW w:w="9378" w:type="dxa"/>
            <w:tcBorders>
              <w:top w:val="nil"/>
            </w:tcBorders>
          </w:tcPr>
          <w:p w:rsidR="00330DED" w:rsidRPr="0010441D" w:rsidRDefault="00FB1111" w:rsidP="003B13A7">
            <w:pPr>
              <w:spacing w:before="40" w:after="40"/>
              <w:rPr>
                <w:rFonts w:asciiTheme="minorHAnsi" w:hAnsiTheme="minorHAnsi"/>
                <w:i/>
                <w:color w:val="0000FF" w:themeColor="hyperlink"/>
                <w:sz w:val="18"/>
                <w:szCs w:val="18"/>
                <w:u w:val="single"/>
              </w:rPr>
            </w:pPr>
            <w:r w:rsidRPr="00FB1111">
              <w:rPr>
                <w:rFonts w:asciiTheme="minorHAnsi" w:hAnsiTheme="minorHAnsi"/>
                <w:sz w:val="18"/>
                <w:szCs w:val="18"/>
              </w:rPr>
              <w:t>Carefully identify, document, resolve and report any problems that occur throughout the study.  IRBs, FDA, and funding agencies each have specific timelines and guidelines for reporting these events, so check with your contacts to understand your responsibilities.  They may provide you with an adverse event tracking log to submit, or you may need to create your own (</w:t>
            </w:r>
            <w:hyperlink r:id="rId21" w:history="1">
              <w:r w:rsidRPr="00FB1111">
                <w:rPr>
                  <w:rStyle w:val="Hyperlink"/>
                  <w:rFonts w:asciiTheme="minorHAnsi" w:hAnsiTheme="minorHAnsi"/>
                  <w:i/>
                  <w:sz w:val="18"/>
                  <w:szCs w:val="18"/>
                </w:rPr>
                <w:t>https://www.iths.org/investigators/forms-templates/study-document-templates/</w:t>
              </w:r>
            </w:hyperlink>
            <w:r>
              <w:rPr>
                <w:rFonts w:asciiTheme="minorHAnsi" w:hAnsiTheme="minorHAnsi"/>
                <w:sz w:val="18"/>
                <w:szCs w:val="18"/>
              </w:rPr>
              <w:t xml:space="preserve">). </w:t>
            </w:r>
          </w:p>
        </w:tc>
      </w:tr>
      <w:tr w:rsidR="00330DED" w:rsidRPr="007C09A3" w:rsidTr="009C66E3">
        <w:tc>
          <w:tcPr>
            <w:tcW w:w="11016" w:type="dxa"/>
            <w:gridSpan w:val="2"/>
          </w:tcPr>
          <w:p w:rsidR="00330DED" w:rsidRPr="009C66E3" w:rsidRDefault="00330DED" w:rsidP="003B13A7">
            <w:pPr>
              <w:spacing w:before="40" w:after="40"/>
              <w:rPr>
                <w:rFonts w:asciiTheme="minorHAnsi" w:hAnsiTheme="minorHAnsi" w:cs="Arial"/>
                <w:sz w:val="18"/>
                <w:szCs w:val="18"/>
              </w:rPr>
            </w:pPr>
            <w:r w:rsidRPr="007C09A3">
              <w:rPr>
                <w:rFonts w:asciiTheme="minorHAnsi" w:hAnsiTheme="minorHAnsi" w:cs="Arial"/>
                <w:sz w:val="18"/>
                <w:szCs w:val="18"/>
              </w:rPr>
              <w:t>NOTES:</w:t>
            </w:r>
          </w:p>
          <w:p w:rsidR="00330DED" w:rsidRPr="007C09A3" w:rsidRDefault="00330DED" w:rsidP="003B13A7">
            <w:pPr>
              <w:spacing w:before="40" w:after="40"/>
              <w:rPr>
                <w:rFonts w:asciiTheme="minorHAnsi" w:hAnsiTheme="minorHAnsi" w:cs="Arial"/>
                <w:b/>
                <w:sz w:val="20"/>
                <w:szCs w:val="20"/>
              </w:rPr>
            </w:pPr>
          </w:p>
        </w:tc>
      </w:tr>
      <w:tr w:rsidR="00330DED" w:rsidRPr="00307228" w:rsidTr="009C66E3">
        <w:tc>
          <w:tcPr>
            <w:tcW w:w="1638" w:type="dxa"/>
            <w:tcBorders>
              <w:top w:val="nil"/>
            </w:tcBorders>
          </w:tcPr>
          <w:p w:rsidR="009C66E3" w:rsidRPr="009D50A6" w:rsidRDefault="00F34C21" w:rsidP="009D50A6">
            <w:pPr>
              <w:spacing w:before="40" w:after="40"/>
              <w:rPr>
                <w:rFonts w:asciiTheme="minorHAnsi" w:hAnsiTheme="minorHAnsi" w:cs="Arial"/>
                <w:b/>
                <w:sz w:val="20"/>
                <w:szCs w:val="20"/>
              </w:rPr>
            </w:pPr>
            <w:r w:rsidRPr="00307228">
              <w:rPr>
                <w:rFonts w:asciiTheme="minorHAnsi" w:hAnsiTheme="minorHAnsi" w:cs="Arial"/>
                <w:b/>
                <w:sz w:val="20"/>
                <w:szCs w:val="20"/>
              </w:rPr>
              <w:t>Submit Protocol Amendments</w:t>
            </w:r>
          </w:p>
        </w:tc>
        <w:tc>
          <w:tcPr>
            <w:tcW w:w="9378" w:type="dxa"/>
            <w:tcBorders>
              <w:top w:val="nil"/>
            </w:tcBorders>
          </w:tcPr>
          <w:p w:rsidR="00F34C21" w:rsidRPr="00307228" w:rsidRDefault="00F34C21" w:rsidP="003B13A7">
            <w:pPr>
              <w:spacing w:before="40" w:after="40"/>
              <w:rPr>
                <w:rFonts w:asciiTheme="minorHAnsi" w:hAnsiTheme="minorHAnsi" w:cs="Arial"/>
                <w:sz w:val="18"/>
                <w:szCs w:val="18"/>
              </w:rPr>
            </w:pPr>
            <w:r w:rsidRPr="00307228">
              <w:rPr>
                <w:rFonts w:asciiTheme="minorHAnsi" w:hAnsiTheme="minorHAnsi" w:cs="Arial"/>
                <w:sz w:val="18"/>
                <w:szCs w:val="18"/>
              </w:rPr>
              <w:t xml:space="preserve">If you need to make changes to your study after you obtain initial IRB approval, you will need to submit a request to modify, or amend, your study to the IRB in advance of initiating the change. If you are working on an industry trial, confirm with the sponsor whether they will submit changes for you.  </w:t>
            </w:r>
          </w:p>
          <w:p w:rsidR="00F34C21" w:rsidRPr="00307228" w:rsidRDefault="00F34C21" w:rsidP="003B13A7">
            <w:pPr>
              <w:spacing w:before="40" w:after="40"/>
              <w:rPr>
                <w:rFonts w:asciiTheme="minorHAnsi" w:hAnsiTheme="minorHAnsi" w:cs="Arial"/>
                <w:sz w:val="18"/>
                <w:szCs w:val="18"/>
              </w:rPr>
            </w:pPr>
            <w:r w:rsidRPr="00307228">
              <w:rPr>
                <w:rFonts w:asciiTheme="minorHAnsi" w:hAnsiTheme="minorHAnsi" w:cs="Arial"/>
                <w:sz w:val="18"/>
                <w:szCs w:val="18"/>
              </w:rPr>
              <w:t>If you are conducting an investigator-initiated study and have a protocol, be sure to update this document with any applicable changes throughout the study (and change the version number and date with each revision). If you are conducting an investigator-initiated IND or IDE study, check with your FDA contact to determine if they also need to approve the protocol change.</w:t>
            </w:r>
          </w:p>
          <w:p w:rsidR="00F34C21" w:rsidRPr="00307228" w:rsidRDefault="00F34C21" w:rsidP="003B13A7">
            <w:pPr>
              <w:spacing w:before="40" w:after="40"/>
              <w:rPr>
                <w:rFonts w:asciiTheme="minorHAnsi" w:hAnsiTheme="minorHAnsi"/>
                <w:i/>
                <w:sz w:val="18"/>
                <w:szCs w:val="18"/>
              </w:rPr>
            </w:pPr>
            <w:r w:rsidRPr="00307228">
              <w:rPr>
                <w:rFonts w:asciiTheme="minorHAnsi" w:hAnsiTheme="minorHAnsi" w:cs="Arial"/>
                <w:sz w:val="18"/>
                <w:szCs w:val="18"/>
              </w:rPr>
              <w:t xml:space="preserve">If the changes will impact the study budget, you may need to contact CRBB to re-negotiate budget and OSP to re-negotiate contract. </w:t>
            </w:r>
            <w:hyperlink r:id="rId22" w:history="1">
              <w:r w:rsidRPr="00307228">
                <w:rPr>
                  <w:rStyle w:val="Hyperlink"/>
                  <w:rFonts w:asciiTheme="minorHAnsi" w:hAnsiTheme="minorHAnsi"/>
                  <w:i/>
                  <w:sz w:val="18"/>
                  <w:szCs w:val="18"/>
                </w:rPr>
                <w:t>http://www.washington.edu/research/main.php?page=industryAgreements</w:t>
              </w:r>
            </w:hyperlink>
          </w:p>
          <w:p w:rsidR="00330DED" w:rsidRPr="00307228" w:rsidRDefault="00A83C2A" w:rsidP="003B13A7">
            <w:pPr>
              <w:spacing w:before="40" w:after="40"/>
              <w:rPr>
                <w:rFonts w:asciiTheme="minorHAnsi" w:hAnsiTheme="minorHAnsi" w:cs="Arial"/>
                <w:b/>
                <w:sz w:val="20"/>
                <w:szCs w:val="20"/>
              </w:rPr>
            </w:pPr>
            <w:hyperlink r:id="rId23" w:history="1">
              <w:r w:rsidR="00F34C21" w:rsidRPr="00307228">
                <w:rPr>
                  <w:rStyle w:val="Hyperlink"/>
                  <w:rFonts w:asciiTheme="minorHAnsi" w:hAnsiTheme="minorHAnsi"/>
                  <w:i/>
                  <w:sz w:val="18"/>
                  <w:szCs w:val="18"/>
                </w:rPr>
                <w:t>http://www.washington.edu/research/main.php?page=agreementGuide</w:t>
              </w:r>
            </w:hyperlink>
          </w:p>
        </w:tc>
      </w:tr>
      <w:tr w:rsidR="00330DED" w:rsidRPr="00307228" w:rsidTr="009C66E3">
        <w:tc>
          <w:tcPr>
            <w:tcW w:w="11016" w:type="dxa"/>
            <w:gridSpan w:val="2"/>
          </w:tcPr>
          <w:p w:rsidR="00330DED" w:rsidRPr="00307228" w:rsidRDefault="00330DED" w:rsidP="003B13A7">
            <w:pPr>
              <w:spacing w:before="40" w:after="40"/>
              <w:rPr>
                <w:rFonts w:asciiTheme="minorHAnsi" w:hAnsiTheme="minorHAnsi" w:cs="Arial"/>
                <w:sz w:val="18"/>
                <w:szCs w:val="18"/>
              </w:rPr>
            </w:pPr>
            <w:r w:rsidRPr="00307228">
              <w:rPr>
                <w:rFonts w:asciiTheme="minorHAnsi" w:hAnsiTheme="minorHAnsi" w:cs="Arial"/>
                <w:sz w:val="18"/>
                <w:szCs w:val="18"/>
              </w:rPr>
              <w:t>NOTES:</w:t>
            </w:r>
          </w:p>
          <w:p w:rsidR="00330DED" w:rsidRPr="00307228" w:rsidRDefault="00330DED" w:rsidP="003B13A7">
            <w:pPr>
              <w:spacing w:before="40" w:after="40"/>
              <w:rPr>
                <w:rFonts w:asciiTheme="minorHAnsi" w:hAnsiTheme="minorHAnsi" w:cs="Arial"/>
                <w:b/>
                <w:sz w:val="20"/>
                <w:szCs w:val="20"/>
              </w:rPr>
            </w:pPr>
          </w:p>
        </w:tc>
      </w:tr>
      <w:tr w:rsidR="00330DED" w:rsidRPr="00307228" w:rsidTr="009C66E3">
        <w:tc>
          <w:tcPr>
            <w:tcW w:w="1638" w:type="dxa"/>
            <w:tcBorders>
              <w:top w:val="nil"/>
            </w:tcBorders>
          </w:tcPr>
          <w:p w:rsidR="009C66E3" w:rsidRPr="009D50A6" w:rsidRDefault="00F34C21" w:rsidP="009D50A6">
            <w:pPr>
              <w:spacing w:before="40" w:after="40"/>
              <w:rPr>
                <w:rFonts w:asciiTheme="minorHAnsi" w:hAnsiTheme="minorHAnsi" w:cs="Arial"/>
                <w:b/>
                <w:sz w:val="20"/>
                <w:szCs w:val="20"/>
              </w:rPr>
            </w:pPr>
            <w:r w:rsidRPr="00307228">
              <w:rPr>
                <w:rFonts w:asciiTheme="minorHAnsi" w:hAnsiTheme="minorHAnsi" w:cs="Arial"/>
                <w:b/>
                <w:sz w:val="20"/>
                <w:szCs w:val="20"/>
              </w:rPr>
              <w:t>Submit Progress Reports</w:t>
            </w:r>
          </w:p>
        </w:tc>
        <w:tc>
          <w:tcPr>
            <w:tcW w:w="9378" w:type="dxa"/>
            <w:tcBorders>
              <w:top w:val="nil"/>
            </w:tcBorders>
          </w:tcPr>
          <w:p w:rsidR="00F34C21" w:rsidRPr="00307228" w:rsidRDefault="00F34C21" w:rsidP="003B13A7">
            <w:pPr>
              <w:spacing w:before="40" w:after="40"/>
              <w:rPr>
                <w:rFonts w:asciiTheme="minorHAnsi" w:hAnsiTheme="minorHAnsi" w:cs="Arial"/>
                <w:i/>
                <w:sz w:val="18"/>
                <w:szCs w:val="18"/>
              </w:rPr>
            </w:pPr>
            <w:r w:rsidRPr="00307228">
              <w:rPr>
                <w:rFonts w:asciiTheme="minorHAnsi" w:hAnsiTheme="minorHAnsi" w:cs="Arial"/>
                <w:sz w:val="18"/>
                <w:szCs w:val="18"/>
              </w:rPr>
              <w:t xml:space="preserve">You will receive the expiration date for your IRB approval at the time of your initial approval, and with each subsequent continuing approval. This date will vary based on the study.  Prior to your IRB approval expiration date, you will need to submit a continuing review report to the IRB.  Follow the IRB’s procedures for submitting the progress report within their stated timeframe. </w:t>
            </w:r>
            <w:hyperlink r:id="rId24" w:history="1">
              <w:r w:rsidRPr="00307228">
                <w:rPr>
                  <w:rStyle w:val="Hyperlink"/>
                  <w:rFonts w:asciiTheme="minorHAnsi" w:hAnsiTheme="minorHAnsi" w:cs="Arial"/>
                  <w:i/>
                  <w:sz w:val="18"/>
                  <w:szCs w:val="18"/>
                </w:rPr>
                <w:t>https://www.washington.edu/research/hsd/docs/1720</w:t>
              </w:r>
            </w:hyperlink>
            <w:r w:rsidRPr="00307228">
              <w:rPr>
                <w:rFonts w:asciiTheme="minorHAnsi" w:hAnsiTheme="minorHAnsi" w:cs="Arial"/>
                <w:i/>
                <w:sz w:val="18"/>
                <w:szCs w:val="18"/>
              </w:rPr>
              <w:t xml:space="preserve">   </w:t>
            </w:r>
          </w:p>
          <w:p w:rsidR="00F34C21" w:rsidRPr="00307228" w:rsidRDefault="00F34C21" w:rsidP="003B13A7">
            <w:pPr>
              <w:spacing w:before="40" w:after="40"/>
              <w:rPr>
                <w:rFonts w:asciiTheme="minorHAnsi" w:hAnsiTheme="minorHAnsi" w:cs="Arial"/>
                <w:sz w:val="18"/>
                <w:szCs w:val="18"/>
              </w:rPr>
            </w:pPr>
            <w:r w:rsidRPr="00307228">
              <w:rPr>
                <w:rFonts w:asciiTheme="minorHAnsi" w:hAnsiTheme="minorHAnsi" w:cs="Arial"/>
                <w:sz w:val="18"/>
                <w:szCs w:val="18"/>
              </w:rPr>
              <w:t xml:space="preserve">If you are conducting an investigator-initiated IND or IDE study, check with your FDA contact to find out their requirements for Progress Report contents and timelines.  </w:t>
            </w:r>
            <w:hyperlink r:id="rId25" w:history="1">
              <w:r w:rsidRPr="00307228">
                <w:rPr>
                  <w:rStyle w:val="Hyperlink"/>
                  <w:rFonts w:asciiTheme="minorHAnsi" w:hAnsiTheme="minorHAnsi" w:cs="Arial"/>
                  <w:i/>
                  <w:sz w:val="18"/>
                  <w:szCs w:val="18"/>
                </w:rPr>
                <w:t>http://www.accessdata.fda.gov/scripts/cdrh/cfdocs/cfcfr/CFRSearch.cfm?fr=312.64</w:t>
              </w:r>
            </w:hyperlink>
            <w:r w:rsidRPr="00307228">
              <w:rPr>
                <w:rFonts w:asciiTheme="minorHAnsi" w:hAnsiTheme="minorHAnsi" w:cs="Arial"/>
                <w:sz w:val="18"/>
                <w:szCs w:val="18"/>
              </w:rPr>
              <w:t xml:space="preserve">   </w:t>
            </w:r>
          </w:p>
          <w:p w:rsidR="00330DED" w:rsidRPr="00307228" w:rsidRDefault="00F34C21" w:rsidP="003B13A7">
            <w:pPr>
              <w:spacing w:before="40" w:after="40"/>
              <w:rPr>
                <w:rFonts w:asciiTheme="minorHAnsi" w:hAnsiTheme="minorHAnsi" w:cs="Arial"/>
                <w:sz w:val="18"/>
                <w:szCs w:val="18"/>
              </w:rPr>
            </w:pPr>
            <w:r w:rsidRPr="00307228">
              <w:rPr>
                <w:rFonts w:asciiTheme="minorHAnsi" w:hAnsiTheme="minorHAnsi" w:cs="Arial"/>
                <w:sz w:val="18"/>
                <w:szCs w:val="18"/>
              </w:rPr>
              <w:t>Check with your funding agency about their annual reporting requirements (for example, NIH requires reporting race/ethnicity stats for enrolled participants).</w:t>
            </w:r>
          </w:p>
        </w:tc>
      </w:tr>
      <w:tr w:rsidR="00330DED" w:rsidRPr="00307228" w:rsidTr="009C66E3">
        <w:tc>
          <w:tcPr>
            <w:tcW w:w="11016" w:type="dxa"/>
            <w:gridSpan w:val="2"/>
          </w:tcPr>
          <w:p w:rsidR="00330DED" w:rsidRPr="00307228" w:rsidRDefault="00330DED" w:rsidP="003B13A7">
            <w:pPr>
              <w:spacing w:before="40" w:after="40"/>
              <w:rPr>
                <w:rFonts w:asciiTheme="minorHAnsi" w:hAnsiTheme="minorHAnsi" w:cs="Arial"/>
                <w:sz w:val="18"/>
                <w:szCs w:val="18"/>
              </w:rPr>
            </w:pPr>
            <w:r w:rsidRPr="00307228">
              <w:rPr>
                <w:rFonts w:asciiTheme="minorHAnsi" w:hAnsiTheme="minorHAnsi" w:cs="Arial"/>
                <w:sz w:val="18"/>
                <w:szCs w:val="18"/>
              </w:rPr>
              <w:t>NOTES:</w:t>
            </w:r>
          </w:p>
          <w:p w:rsidR="00330DED" w:rsidRPr="00307228" w:rsidRDefault="00330DED" w:rsidP="003B13A7">
            <w:pPr>
              <w:spacing w:before="40" w:after="40"/>
              <w:rPr>
                <w:rFonts w:asciiTheme="minorHAnsi" w:hAnsiTheme="minorHAnsi" w:cs="Arial"/>
                <w:b/>
                <w:sz w:val="20"/>
                <w:szCs w:val="20"/>
              </w:rPr>
            </w:pPr>
          </w:p>
        </w:tc>
      </w:tr>
      <w:tr w:rsidR="00330DED" w:rsidRPr="00307228" w:rsidTr="009C66E3">
        <w:tc>
          <w:tcPr>
            <w:tcW w:w="1638" w:type="dxa"/>
            <w:tcBorders>
              <w:top w:val="nil"/>
            </w:tcBorders>
          </w:tcPr>
          <w:p w:rsidR="009C66E3" w:rsidRPr="009D50A6" w:rsidRDefault="00F34C21" w:rsidP="009D50A6">
            <w:pPr>
              <w:spacing w:before="40" w:after="40"/>
              <w:rPr>
                <w:rFonts w:asciiTheme="minorHAnsi" w:hAnsiTheme="minorHAnsi" w:cs="Arial"/>
                <w:b/>
                <w:sz w:val="20"/>
                <w:szCs w:val="20"/>
              </w:rPr>
            </w:pPr>
            <w:r w:rsidRPr="00307228">
              <w:rPr>
                <w:rFonts w:asciiTheme="minorHAnsi" w:hAnsiTheme="minorHAnsi" w:cs="Arial"/>
                <w:b/>
                <w:sz w:val="20"/>
                <w:szCs w:val="20"/>
              </w:rPr>
              <w:t>Monitoring Study Records</w:t>
            </w:r>
          </w:p>
        </w:tc>
        <w:tc>
          <w:tcPr>
            <w:tcW w:w="9378" w:type="dxa"/>
            <w:tcBorders>
              <w:top w:val="nil"/>
            </w:tcBorders>
          </w:tcPr>
          <w:p w:rsidR="00F34C21" w:rsidRPr="00307228" w:rsidRDefault="00F34C21" w:rsidP="003B13A7">
            <w:pPr>
              <w:spacing w:before="40" w:after="40"/>
              <w:rPr>
                <w:rFonts w:ascii="Calibri" w:hAnsi="Calibri"/>
                <w:sz w:val="18"/>
                <w:szCs w:val="18"/>
              </w:rPr>
            </w:pPr>
            <w:r w:rsidRPr="00307228">
              <w:rPr>
                <w:rFonts w:ascii="Calibri" w:hAnsi="Calibri"/>
                <w:sz w:val="18"/>
                <w:szCs w:val="18"/>
              </w:rPr>
              <w:t>If you are working with industry, or if you are acting as a sponsor-investigator on an investigator-initiated IND or IDE study, you will need to participate in monitoring visits throughout the study.  This may be done in-person or remotely.  If you have a data management center reviewing study data, be sure to prioritize quick turnarounds for data queries.</w:t>
            </w:r>
          </w:p>
          <w:p w:rsidR="00F34C21" w:rsidRPr="00307228" w:rsidRDefault="00F34C21" w:rsidP="003B13A7">
            <w:pPr>
              <w:spacing w:before="40" w:after="40"/>
              <w:rPr>
                <w:rFonts w:ascii="Calibri" w:hAnsi="Calibri"/>
                <w:i/>
                <w:sz w:val="18"/>
                <w:szCs w:val="18"/>
              </w:rPr>
            </w:pPr>
            <w:r w:rsidRPr="00307228">
              <w:rPr>
                <w:rFonts w:ascii="Calibri" w:hAnsi="Calibri"/>
                <w:sz w:val="18"/>
                <w:szCs w:val="18"/>
              </w:rPr>
              <w:t xml:space="preserve">If your study does not have external monitoring, it is good practice to periodically review the data and regulatory records to </w:t>
            </w:r>
            <w:r w:rsidRPr="00307228">
              <w:rPr>
                <w:rFonts w:ascii="Calibri" w:hAnsi="Calibri"/>
                <w:sz w:val="18"/>
                <w:szCs w:val="18"/>
              </w:rPr>
              <w:lastRenderedPageBreak/>
              <w:t xml:space="preserve">ensure you are capturing data as planned and meeting your regulatory responsibilities. It may be helpful to consult an ITHS research monitor.  </w:t>
            </w:r>
            <w:hyperlink r:id="rId26" w:history="1">
              <w:r w:rsidRPr="00307228">
                <w:rPr>
                  <w:rStyle w:val="Hyperlink"/>
                  <w:rFonts w:ascii="Calibri" w:hAnsi="Calibri"/>
                  <w:i/>
                  <w:sz w:val="18"/>
                  <w:szCs w:val="18"/>
                </w:rPr>
                <w:t>https://www.iths.org/investigators/services/regulatory-monitoring/</w:t>
              </w:r>
            </w:hyperlink>
            <w:r w:rsidRPr="00307228">
              <w:rPr>
                <w:rFonts w:ascii="Calibri" w:hAnsi="Calibri"/>
                <w:i/>
                <w:sz w:val="18"/>
                <w:szCs w:val="18"/>
              </w:rPr>
              <w:t xml:space="preserve">  </w:t>
            </w:r>
          </w:p>
          <w:p w:rsidR="00F34C21" w:rsidRPr="00307228" w:rsidRDefault="00F34C21" w:rsidP="003B13A7">
            <w:pPr>
              <w:spacing w:before="40" w:after="40"/>
              <w:rPr>
                <w:rFonts w:ascii="Calibri" w:hAnsi="Calibri"/>
                <w:sz w:val="18"/>
                <w:szCs w:val="18"/>
              </w:rPr>
            </w:pPr>
            <w:r w:rsidRPr="00307228">
              <w:rPr>
                <w:rFonts w:ascii="Calibri" w:hAnsi="Calibri"/>
                <w:sz w:val="18"/>
                <w:szCs w:val="18"/>
              </w:rPr>
              <w:t xml:space="preserve">It may be helpful to talk with a biostatistician about conducting interim data analysis. </w:t>
            </w:r>
            <w:hyperlink r:id="rId27" w:history="1">
              <w:r w:rsidRPr="00307228">
                <w:rPr>
                  <w:rStyle w:val="Hyperlink"/>
                  <w:rFonts w:ascii="Calibri" w:hAnsi="Calibri"/>
                  <w:i/>
                  <w:sz w:val="18"/>
                  <w:szCs w:val="18"/>
                </w:rPr>
                <w:t>https://www.iths.org/investigators/services/cbs/</w:t>
              </w:r>
            </w:hyperlink>
            <w:r w:rsidRPr="00307228">
              <w:rPr>
                <w:rFonts w:ascii="Calibri" w:hAnsi="Calibri"/>
                <w:sz w:val="18"/>
                <w:szCs w:val="18"/>
              </w:rPr>
              <w:t xml:space="preserve">  </w:t>
            </w:r>
          </w:p>
          <w:p w:rsidR="00330DED" w:rsidRPr="00307228" w:rsidRDefault="00F34C21" w:rsidP="003B13A7">
            <w:pPr>
              <w:spacing w:before="40" w:after="40"/>
              <w:rPr>
                <w:rFonts w:ascii="Calibri" w:hAnsi="Calibri"/>
                <w:i/>
                <w:sz w:val="18"/>
                <w:szCs w:val="18"/>
              </w:rPr>
            </w:pPr>
            <w:r w:rsidRPr="00307228">
              <w:rPr>
                <w:rFonts w:ascii="Calibri" w:hAnsi="Calibri"/>
                <w:sz w:val="18"/>
                <w:szCs w:val="18"/>
              </w:rPr>
              <w:t>If your study includes a DSMB, understand their scope of work (usually in a charter, which you may receive a copy of) and meeting schedule, along with your role in providing information or responding to their inquiries.</w:t>
            </w:r>
          </w:p>
        </w:tc>
      </w:tr>
      <w:tr w:rsidR="00330DED" w:rsidRPr="00307228" w:rsidTr="009C66E3">
        <w:tc>
          <w:tcPr>
            <w:tcW w:w="11016" w:type="dxa"/>
            <w:gridSpan w:val="2"/>
          </w:tcPr>
          <w:p w:rsidR="00330DED" w:rsidRPr="00307228" w:rsidRDefault="00330DED" w:rsidP="003B13A7">
            <w:pPr>
              <w:spacing w:before="40" w:after="40"/>
              <w:rPr>
                <w:rFonts w:asciiTheme="minorHAnsi" w:hAnsiTheme="minorHAnsi" w:cs="Arial"/>
                <w:sz w:val="18"/>
                <w:szCs w:val="18"/>
              </w:rPr>
            </w:pPr>
            <w:r w:rsidRPr="00307228">
              <w:rPr>
                <w:rFonts w:asciiTheme="minorHAnsi" w:hAnsiTheme="minorHAnsi" w:cs="Arial"/>
                <w:sz w:val="18"/>
                <w:szCs w:val="18"/>
              </w:rPr>
              <w:lastRenderedPageBreak/>
              <w:t>NOTES:</w:t>
            </w:r>
          </w:p>
          <w:p w:rsidR="00330DED" w:rsidRPr="00307228" w:rsidRDefault="00330DED" w:rsidP="003B13A7">
            <w:pPr>
              <w:spacing w:before="40" w:after="40"/>
              <w:rPr>
                <w:rFonts w:asciiTheme="minorHAnsi" w:hAnsiTheme="minorHAnsi" w:cs="Arial"/>
                <w:b/>
                <w:sz w:val="22"/>
                <w:szCs w:val="22"/>
              </w:rPr>
            </w:pPr>
          </w:p>
          <w:p w:rsidR="00330DED" w:rsidRPr="00307228" w:rsidRDefault="00330DED" w:rsidP="003B13A7">
            <w:pPr>
              <w:spacing w:before="40" w:after="40"/>
              <w:rPr>
                <w:rFonts w:asciiTheme="minorHAnsi" w:hAnsiTheme="minorHAnsi" w:cs="Arial"/>
                <w:b/>
                <w:sz w:val="20"/>
                <w:szCs w:val="20"/>
              </w:rPr>
            </w:pPr>
          </w:p>
        </w:tc>
      </w:tr>
      <w:tr w:rsidR="00330DED" w:rsidRPr="00307228" w:rsidTr="009C66E3">
        <w:tc>
          <w:tcPr>
            <w:tcW w:w="1638" w:type="dxa"/>
            <w:tcBorders>
              <w:top w:val="nil"/>
            </w:tcBorders>
          </w:tcPr>
          <w:p w:rsidR="009C66E3" w:rsidRPr="009D50A6" w:rsidRDefault="00F34C21" w:rsidP="009D50A6">
            <w:pPr>
              <w:spacing w:before="40" w:after="40"/>
              <w:rPr>
                <w:rFonts w:asciiTheme="minorHAnsi" w:hAnsiTheme="minorHAnsi" w:cs="Arial"/>
                <w:b/>
                <w:sz w:val="20"/>
                <w:szCs w:val="20"/>
              </w:rPr>
            </w:pPr>
            <w:r w:rsidRPr="00307228">
              <w:rPr>
                <w:rFonts w:asciiTheme="minorHAnsi" w:hAnsiTheme="minorHAnsi" w:cs="Arial"/>
                <w:b/>
                <w:sz w:val="20"/>
                <w:szCs w:val="20"/>
              </w:rPr>
              <w:t>Monitor the Budget</w:t>
            </w:r>
          </w:p>
        </w:tc>
        <w:tc>
          <w:tcPr>
            <w:tcW w:w="9378" w:type="dxa"/>
            <w:tcBorders>
              <w:top w:val="nil"/>
            </w:tcBorders>
          </w:tcPr>
          <w:p w:rsidR="00330DED" w:rsidRPr="00307228" w:rsidRDefault="00F34C21" w:rsidP="003B13A7">
            <w:pPr>
              <w:spacing w:before="40" w:after="40"/>
              <w:rPr>
                <w:rFonts w:asciiTheme="minorHAnsi" w:hAnsiTheme="minorHAnsi"/>
                <w:sz w:val="18"/>
                <w:szCs w:val="18"/>
              </w:rPr>
            </w:pPr>
            <w:r w:rsidRPr="00307228">
              <w:rPr>
                <w:rFonts w:asciiTheme="minorHAnsi" w:hAnsiTheme="minorHAnsi" w:cs="Arial"/>
                <w:sz w:val="18"/>
                <w:szCs w:val="18"/>
              </w:rPr>
              <w:t xml:space="preserve">Balancing costs, spending and budgetary allowances at least monthly is paramount to staying on track.  If you are working with an industry sponsor, your final Clinical Trials Agreement (CTA) will specify what should be invoiced to the sponsor.  Submit invoices to the sponsor within the timeframes outlined in the CTA. If you are working with a funding agency, check with the UW Office of Sponsored Programs and/or your department’s grants manager about budget spending restrictions, and for information on no-cost extensions. UW OFFICE OF SPONSORED PROGRAMS (206) 543-4043, </w:t>
            </w:r>
            <w:hyperlink r:id="rId28" w:history="1">
              <w:r w:rsidRPr="00307228">
                <w:rPr>
                  <w:rStyle w:val="Hyperlink"/>
                  <w:rFonts w:asciiTheme="minorHAnsi" w:hAnsiTheme="minorHAnsi" w:cs="Arial"/>
                  <w:sz w:val="18"/>
                  <w:szCs w:val="18"/>
                </w:rPr>
                <w:t>osp@uw.edu</w:t>
              </w:r>
            </w:hyperlink>
            <w:r w:rsidRPr="00307228">
              <w:rPr>
                <w:rFonts w:asciiTheme="minorHAnsi" w:hAnsiTheme="minorHAnsi" w:cs="Arial"/>
                <w:sz w:val="18"/>
                <w:szCs w:val="18"/>
              </w:rPr>
              <w:t xml:space="preserve"> </w:t>
            </w:r>
            <w:r w:rsidR="00330DED" w:rsidRPr="00307228">
              <w:rPr>
                <w:rStyle w:val="Hyperlink"/>
                <w:rFonts w:asciiTheme="minorHAnsi" w:hAnsiTheme="minorHAnsi"/>
                <w:i/>
                <w:sz w:val="18"/>
                <w:szCs w:val="18"/>
              </w:rPr>
              <w:t xml:space="preserve"> </w:t>
            </w:r>
          </w:p>
        </w:tc>
      </w:tr>
      <w:tr w:rsidR="00330DED" w:rsidRPr="00307228" w:rsidTr="009C66E3">
        <w:tc>
          <w:tcPr>
            <w:tcW w:w="11016" w:type="dxa"/>
            <w:gridSpan w:val="2"/>
          </w:tcPr>
          <w:p w:rsidR="00330DED" w:rsidRPr="00307228" w:rsidRDefault="00330DED" w:rsidP="003B13A7">
            <w:pPr>
              <w:spacing w:before="40" w:after="40"/>
              <w:rPr>
                <w:rFonts w:asciiTheme="minorHAnsi" w:hAnsiTheme="minorHAnsi" w:cs="Arial"/>
                <w:sz w:val="18"/>
                <w:szCs w:val="18"/>
              </w:rPr>
            </w:pPr>
            <w:r w:rsidRPr="00307228">
              <w:rPr>
                <w:rFonts w:asciiTheme="minorHAnsi" w:hAnsiTheme="minorHAnsi" w:cs="Arial"/>
                <w:sz w:val="18"/>
                <w:szCs w:val="18"/>
              </w:rPr>
              <w:t>NOTES:</w:t>
            </w:r>
          </w:p>
          <w:p w:rsidR="00330DED" w:rsidRPr="00307228" w:rsidRDefault="00330DED" w:rsidP="003B13A7">
            <w:pPr>
              <w:spacing w:before="40" w:after="40"/>
              <w:rPr>
                <w:rFonts w:asciiTheme="minorHAnsi" w:hAnsiTheme="minorHAnsi" w:cs="Arial"/>
                <w:b/>
                <w:sz w:val="20"/>
                <w:szCs w:val="20"/>
              </w:rPr>
            </w:pPr>
          </w:p>
        </w:tc>
      </w:tr>
      <w:tr w:rsidR="00330DED" w:rsidRPr="007C09A3" w:rsidTr="00307228">
        <w:tc>
          <w:tcPr>
            <w:tcW w:w="1638" w:type="dxa"/>
            <w:tcBorders>
              <w:top w:val="nil"/>
              <w:bottom w:val="single" w:sz="4" w:space="0" w:color="auto"/>
            </w:tcBorders>
          </w:tcPr>
          <w:p w:rsidR="009C66E3" w:rsidRPr="009D50A6" w:rsidRDefault="00F34C21" w:rsidP="009D50A6">
            <w:pPr>
              <w:spacing w:before="40" w:after="40"/>
              <w:rPr>
                <w:rFonts w:asciiTheme="minorHAnsi" w:hAnsiTheme="minorHAnsi" w:cs="Arial"/>
                <w:b/>
                <w:sz w:val="20"/>
                <w:szCs w:val="20"/>
              </w:rPr>
            </w:pPr>
            <w:r w:rsidRPr="00307228">
              <w:rPr>
                <w:rFonts w:asciiTheme="minorHAnsi" w:hAnsiTheme="minorHAnsi" w:cs="Arial"/>
                <w:b/>
                <w:sz w:val="20"/>
                <w:szCs w:val="20"/>
              </w:rPr>
              <w:t xml:space="preserve">Complete Refresher Trainings on </w:t>
            </w:r>
            <w:r w:rsidR="00330DED" w:rsidRPr="00307228">
              <w:rPr>
                <w:rFonts w:asciiTheme="minorHAnsi" w:hAnsiTheme="minorHAnsi" w:cs="Arial"/>
                <w:b/>
                <w:sz w:val="20"/>
                <w:szCs w:val="20"/>
              </w:rPr>
              <w:t xml:space="preserve">Human Subjects Protections and GCP </w:t>
            </w:r>
          </w:p>
        </w:tc>
        <w:tc>
          <w:tcPr>
            <w:tcW w:w="9378" w:type="dxa"/>
            <w:tcBorders>
              <w:top w:val="nil"/>
              <w:bottom w:val="single" w:sz="4" w:space="0" w:color="auto"/>
            </w:tcBorders>
          </w:tcPr>
          <w:p w:rsidR="00330DED" w:rsidRPr="00307228" w:rsidRDefault="00F34C21" w:rsidP="003B13A7">
            <w:pPr>
              <w:spacing w:before="40" w:after="40"/>
              <w:rPr>
                <w:rFonts w:asciiTheme="minorHAnsi" w:hAnsiTheme="minorHAnsi"/>
                <w:i/>
                <w:sz w:val="18"/>
                <w:szCs w:val="18"/>
              </w:rPr>
            </w:pPr>
            <w:r w:rsidRPr="00307228">
              <w:rPr>
                <w:rFonts w:asciiTheme="minorHAnsi" w:hAnsiTheme="minorHAnsi" w:cs="Arial"/>
                <w:sz w:val="18"/>
                <w:szCs w:val="18"/>
              </w:rPr>
              <w:t>Many funding agencies/sponsors have requirements to complete human subject protections and/or Good Clinical Practice refresher training.  Check with your sponsor about expected time frames.</w:t>
            </w:r>
            <w:r w:rsidR="00330DED" w:rsidRPr="00307228">
              <w:rPr>
                <w:sz w:val="18"/>
                <w:szCs w:val="18"/>
              </w:rPr>
              <w:t xml:space="preserve"> </w:t>
            </w:r>
            <w:hyperlink r:id="rId29" w:history="1">
              <w:r w:rsidR="00330DED" w:rsidRPr="00307228">
                <w:rPr>
                  <w:rStyle w:val="Hyperlink"/>
                  <w:rFonts w:asciiTheme="minorHAnsi" w:hAnsiTheme="minorHAnsi"/>
                  <w:i/>
                  <w:sz w:val="18"/>
                  <w:szCs w:val="18"/>
                </w:rPr>
                <w:t>http://www.washington.edu/research/hsd/courses/</w:t>
              </w:r>
            </w:hyperlink>
            <w:r w:rsidR="00330DED" w:rsidRPr="00307228">
              <w:rPr>
                <w:rFonts w:asciiTheme="minorHAnsi" w:hAnsiTheme="minorHAnsi"/>
                <w:i/>
                <w:sz w:val="18"/>
                <w:szCs w:val="18"/>
              </w:rPr>
              <w:t xml:space="preserve"> </w:t>
            </w:r>
          </w:p>
        </w:tc>
      </w:tr>
      <w:tr w:rsidR="00307228" w:rsidRPr="007C09A3" w:rsidTr="00307228">
        <w:tc>
          <w:tcPr>
            <w:tcW w:w="11016" w:type="dxa"/>
            <w:gridSpan w:val="2"/>
            <w:tcBorders>
              <w:top w:val="single" w:sz="4" w:space="0" w:color="auto"/>
            </w:tcBorders>
          </w:tcPr>
          <w:p w:rsidR="00307228" w:rsidRPr="00307228" w:rsidRDefault="00307228" w:rsidP="003B13A7">
            <w:pPr>
              <w:spacing w:before="40" w:after="40"/>
              <w:rPr>
                <w:rFonts w:asciiTheme="minorHAnsi" w:hAnsiTheme="minorHAnsi" w:cs="Arial"/>
                <w:sz w:val="18"/>
                <w:szCs w:val="18"/>
              </w:rPr>
            </w:pPr>
            <w:r w:rsidRPr="00307228">
              <w:rPr>
                <w:rFonts w:asciiTheme="minorHAnsi" w:hAnsiTheme="minorHAnsi" w:cs="Arial"/>
                <w:sz w:val="18"/>
                <w:szCs w:val="18"/>
              </w:rPr>
              <w:t>NOTES:</w:t>
            </w:r>
          </w:p>
          <w:p w:rsidR="00307228" w:rsidRDefault="00307228" w:rsidP="003B13A7">
            <w:pPr>
              <w:spacing w:before="40" w:after="40"/>
              <w:rPr>
                <w:rFonts w:asciiTheme="minorHAnsi" w:hAnsiTheme="minorHAnsi" w:cs="Arial"/>
                <w:sz w:val="18"/>
                <w:szCs w:val="18"/>
              </w:rPr>
            </w:pPr>
          </w:p>
          <w:p w:rsidR="00307228" w:rsidRPr="00307228" w:rsidRDefault="00307228" w:rsidP="003B13A7">
            <w:pPr>
              <w:spacing w:before="40" w:after="40"/>
              <w:rPr>
                <w:rFonts w:asciiTheme="minorHAnsi" w:hAnsiTheme="minorHAnsi" w:cs="Arial"/>
                <w:sz w:val="18"/>
                <w:szCs w:val="18"/>
              </w:rPr>
            </w:pPr>
          </w:p>
        </w:tc>
      </w:tr>
    </w:tbl>
    <w:p w:rsidR="00C20CFF" w:rsidRPr="007C09A3" w:rsidRDefault="00C20CFF" w:rsidP="00C20CFF">
      <w:pPr>
        <w:rPr>
          <w:rFonts w:asciiTheme="minorHAnsi" w:hAnsiTheme="minorHAnsi" w:cs="Arial"/>
          <w:b/>
          <w:sz w:val="22"/>
          <w:szCs w:val="22"/>
        </w:rPr>
      </w:pPr>
    </w:p>
    <w:sectPr w:rsidR="00C20CFF" w:rsidRPr="007C09A3" w:rsidSect="00C20CFF">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DA" w:rsidRDefault="009C0BDA" w:rsidP="00C20CFF">
      <w:r>
        <w:separator/>
      </w:r>
    </w:p>
  </w:endnote>
  <w:endnote w:type="continuationSeparator" w:id="0">
    <w:p w:rsidR="009C0BDA" w:rsidRDefault="009C0BDA" w:rsidP="00C2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563430"/>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rsidR="009C0BDA" w:rsidRPr="009C66E3" w:rsidRDefault="009C0BDA">
        <w:pPr>
          <w:pStyle w:val="Footer"/>
          <w:pBdr>
            <w:top w:val="single" w:sz="4" w:space="1" w:color="D9D9D9" w:themeColor="background1" w:themeShade="D9"/>
          </w:pBdr>
          <w:jc w:val="right"/>
          <w:rPr>
            <w:rFonts w:asciiTheme="minorHAnsi" w:hAnsiTheme="minorHAnsi"/>
            <w:sz w:val="16"/>
            <w:szCs w:val="16"/>
          </w:rPr>
        </w:pPr>
        <w:r w:rsidRPr="009C66E3">
          <w:rPr>
            <w:rFonts w:asciiTheme="minorHAnsi" w:hAnsiTheme="minorHAnsi"/>
            <w:sz w:val="16"/>
            <w:szCs w:val="16"/>
          </w:rPr>
          <w:fldChar w:fldCharType="begin"/>
        </w:r>
        <w:r w:rsidRPr="009C66E3">
          <w:rPr>
            <w:rFonts w:asciiTheme="minorHAnsi" w:hAnsiTheme="minorHAnsi"/>
            <w:sz w:val="16"/>
            <w:szCs w:val="16"/>
          </w:rPr>
          <w:instrText xml:space="preserve"> PAGE   \* MERGEFORMAT </w:instrText>
        </w:r>
        <w:r w:rsidRPr="009C66E3">
          <w:rPr>
            <w:rFonts w:asciiTheme="minorHAnsi" w:hAnsiTheme="minorHAnsi"/>
            <w:sz w:val="16"/>
            <w:szCs w:val="16"/>
          </w:rPr>
          <w:fldChar w:fldCharType="separate"/>
        </w:r>
        <w:r w:rsidR="00A83C2A">
          <w:rPr>
            <w:rFonts w:asciiTheme="minorHAnsi" w:hAnsiTheme="minorHAnsi"/>
            <w:noProof/>
            <w:sz w:val="16"/>
            <w:szCs w:val="16"/>
          </w:rPr>
          <w:t>1</w:t>
        </w:r>
        <w:r w:rsidRPr="009C66E3">
          <w:rPr>
            <w:rFonts w:asciiTheme="minorHAnsi" w:hAnsiTheme="minorHAnsi"/>
            <w:noProof/>
            <w:sz w:val="16"/>
            <w:szCs w:val="16"/>
          </w:rPr>
          <w:fldChar w:fldCharType="end"/>
        </w:r>
        <w:r w:rsidRPr="009C66E3">
          <w:rPr>
            <w:rFonts w:asciiTheme="minorHAnsi" w:hAnsiTheme="minorHAnsi"/>
            <w:sz w:val="16"/>
            <w:szCs w:val="16"/>
          </w:rPr>
          <w:t xml:space="preserve"> | </w:t>
        </w:r>
        <w:r w:rsidRPr="009C66E3">
          <w:rPr>
            <w:rFonts w:asciiTheme="minorHAnsi" w:hAnsiTheme="minorHAnsi"/>
            <w:color w:val="808080" w:themeColor="background1" w:themeShade="80"/>
            <w:spacing w:val="60"/>
            <w:sz w:val="16"/>
            <w:szCs w:val="16"/>
          </w:rPr>
          <w:t>Page</w:t>
        </w:r>
      </w:p>
    </w:sdtContent>
  </w:sdt>
  <w:p w:rsidR="009C0BDA" w:rsidRDefault="009C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DA" w:rsidRDefault="009C0BDA" w:rsidP="00C20CFF">
      <w:r>
        <w:separator/>
      </w:r>
    </w:p>
  </w:footnote>
  <w:footnote w:type="continuationSeparator" w:id="0">
    <w:p w:rsidR="009C0BDA" w:rsidRDefault="009C0BDA" w:rsidP="00C20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BDA" w:rsidRDefault="009C0BDA" w:rsidP="00C20CF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BF3"/>
    <w:multiLevelType w:val="hybridMultilevel"/>
    <w:tmpl w:val="8032953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766BA"/>
    <w:multiLevelType w:val="hybridMultilevel"/>
    <w:tmpl w:val="90B850E0"/>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44BC1"/>
    <w:multiLevelType w:val="hybridMultilevel"/>
    <w:tmpl w:val="F0B8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D6875"/>
    <w:multiLevelType w:val="hybridMultilevel"/>
    <w:tmpl w:val="1BB42514"/>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07533"/>
    <w:multiLevelType w:val="hybridMultilevel"/>
    <w:tmpl w:val="045240F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D50DC"/>
    <w:multiLevelType w:val="hybridMultilevel"/>
    <w:tmpl w:val="89B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87DD0"/>
    <w:multiLevelType w:val="hybridMultilevel"/>
    <w:tmpl w:val="F8C645D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739E2"/>
    <w:multiLevelType w:val="hybridMultilevel"/>
    <w:tmpl w:val="A238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26AE2"/>
    <w:multiLevelType w:val="hybridMultilevel"/>
    <w:tmpl w:val="66E4B09C"/>
    <w:lvl w:ilvl="0" w:tplc="23E8C776">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C67AC"/>
    <w:multiLevelType w:val="hybridMultilevel"/>
    <w:tmpl w:val="0F14DBD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39524B"/>
    <w:multiLevelType w:val="hybridMultilevel"/>
    <w:tmpl w:val="8A3A6FF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1A0151"/>
    <w:multiLevelType w:val="hybridMultilevel"/>
    <w:tmpl w:val="53D0D80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DE4EC7"/>
    <w:multiLevelType w:val="hybridMultilevel"/>
    <w:tmpl w:val="E796EFF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B3282"/>
    <w:multiLevelType w:val="hybridMultilevel"/>
    <w:tmpl w:val="B5088DB0"/>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7E0666"/>
    <w:multiLevelType w:val="hybridMultilevel"/>
    <w:tmpl w:val="42C0406C"/>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25073D"/>
    <w:multiLevelType w:val="hybridMultilevel"/>
    <w:tmpl w:val="AB00CEC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66955"/>
    <w:multiLevelType w:val="hybridMultilevel"/>
    <w:tmpl w:val="60EE0F6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43735F"/>
    <w:multiLevelType w:val="hybridMultilevel"/>
    <w:tmpl w:val="A880C12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EC758D"/>
    <w:multiLevelType w:val="hybridMultilevel"/>
    <w:tmpl w:val="E050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73754"/>
    <w:multiLevelType w:val="hybridMultilevel"/>
    <w:tmpl w:val="A06E4C3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487B23"/>
    <w:multiLevelType w:val="hybridMultilevel"/>
    <w:tmpl w:val="6414EB5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465C3C"/>
    <w:multiLevelType w:val="hybridMultilevel"/>
    <w:tmpl w:val="4558CB0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A97879"/>
    <w:multiLevelType w:val="hybridMultilevel"/>
    <w:tmpl w:val="FC6E8B2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CE6C0B"/>
    <w:multiLevelType w:val="hybridMultilevel"/>
    <w:tmpl w:val="5D24853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374795"/>
    <w:multiLevelType w:val="hybridMultilevel"/>
    <w:tmpl w:val="E91EC9D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1C77BE"/>
    <w:multiLevelType w:val="hybridMultilevel"/>
    <w:tmpl w:val="2FF6455C"/>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265B6D"/>
    <w:multiLevelType w:val="hybridMultilevel"/>
    <w:tmpl w:val="74B6C97C"/>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08710B"/>
    <w:multiLevelType w:val="hybridMultilevel"/>
    <w:tmpl w:val="F9E469C6"/>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582A4E"/>
    <w:multiLevelType w:val="hybridMultilevel"/>
    <w:tmpl w:val="B72E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6D1CAC"/>
    <w:multiLevelType w:val="hybridMultilevel"/>
    <w:tmpl w:val="354E732C"/>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640A9A"/>
    <w:multiLevelType w:val="hybridMultilevel"/>
    <w:tmpl w:val="58AE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E597B"/>
    <w:multiLevelType w:val="hybridMultilevel"/>
    <w:tmpl w:val="20D4BAA0"/>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033A7C"/>
    <w:multiLevelType w:val="hybridMultilevel"/>
    <w:tmpl w:val="CBE80C12"/>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CA60E5"/>
    <w:multiLevelType w:val="hybridMultilevel"/>
    <w:tmpl w:val="541293C0"/>
    <w:lvl w:ilvl="0" w:tplc="113C87B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7616A7"/>
    <w:multiLevelType w:val="hybridMultilevel"/>
    <w:tmpl w:val="671E89E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9B07C2"/>
    <w:multiLevelType w:val="hybridMultilevel"/>
    <w:tmpl w:val="988CB92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F0084"/>
    <w:multiLevelType w:val="hybridMultilevel"/>
    <w:tmpl w:val="E73466B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A832BA"/>
    <w:multiLevelType w:val="hybridMultilevel"/>
    <w:tmpl w:val="9696880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844FB1"/>
    <w:multiLevelType w:val="hybridMultilevel"/>
    <w:tmpl w:val="F7C4A02E"/>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E44C89"/>
    <w:multiLevelType w:val="hybridMultilevel"/>
    <w:tmpl w:val="C840CC6A"/>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1E7E9D"/>
    <w:multiLevelType w:val="hybridMultilevel"/>
    <w:tmpl w:val="4B684338"/>
    <w:lvl w:ilvl="0" w:tplc="23E8C7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8"/>
  </w:num>
  <w:num w:numId="4">
    <w:abstractNumId w:val="35"/>
  </w:num>
  <w:num w:numId="5">
    <w:abstractNumId w:val="5"/>
  </w:num>
  <w:num w:numId="6">
    <w:abstractNumId w:val="2"/>
  </w:num>
  <w:num w:numId="7">
    <w:abstractNumId w:val="18"/>
  </w:num>
  <w:num w:numId="8">
    <w:abstractNumId w:val="30"/>
  </w:num>
  <w:num w:numId="9">
    <w:abstractNumId w:val="28"/>
  </w:num>
  <w:num w:numId="10">
    <w:abstractNumId w:val="19"/>
  </w:num>
  <w:num w:numId="11">
    <w:abstractNumId w:val="25"/>
  </w:num>
  <w:num w:numId="12">
    <w:abstractNumId w:val="29"/>
  </w:num>
  <w:num w:numId="13">
    <w:abstractNumId w:val="11"/>
  </w:num>
  <w:num w:numId="14">
    <w:abstractNumId w:val="3"/>
  </w:num>
  <w:num w:numId="15">
    <w:abstractNumId w:val="14"/>
  </w:num>
  <w:num w:numId="16">
    <w:abstractNumId w:val="23"/>
  </w:num>
  <w:num w:numId="17">
    <w:abstractNumId w:val="38"/>
  </w:num>
  <w:num w:numId="18">
    <w:abstractNumId w:val="37"/>
  </w:num>
  <w:num w:numId="19">
    <w:abstractNumId w:val="34"/>
  </w:num>
  <w:num w:numId="20">
    <w:abstractNumId w:val="13"/>
  </w:num>
  <w:num w:numId="21">
    <w:abstractNumId w:val="32"/>
  </w:num>
  <w:num w:numId="22">
    <w:abstractNumId w:val="20"/>
  </w:num>
  <w:num w:numId="23">
    <w:abstractNumId w:val="36"/>
  </w:num>
  <w:num w:numId="24">
    <w:abstractNumId w:val="16"/>
  </w:num>
  <w:num w:numId="25">
    <w:abstractNumId w:val="22"/>
  </w:num>
  <w:num w:numId="26">
    <w:abstractNumId w:val="9"/>
  </w:num>
  <w:num w:numId="27">
    <w:abstractNumId w:val="15"/>
  </w:num>
  <w:num w:numId="28">
    <w:abstractNumId w:val="21"/>
  </w:num>
  <w:num w:numId="29">
    <w:abstractNumId w:val="40"/>
  </w:num>
  <w:num w:numId="30">
    <w:abstractNumId w:val="12"/>
  </w:num>
  <w:num w:numId="31">
    <w:abstractNumId w:val="17"/>
  </w:num>
  <w:num w:numId="32">
    <w:abstractNumId w:val="39"/>
  </w:num>
  <w:num w:numId="33">
    <w:abstractNumId w:val="24"/>
  </w:num>
  <w:num w:numId="34">
    <w:abstractNumId w:val="10"/>
  </w:num>
  <w:num w:numId="35">
    <w:abstractNumId w:val="1"/>
  </w:num>
  <w:num w:numId="36">
    <w:abstractNumId w:val="0"/>
  </w:num>
  <w:num w:numId="37">
    <w:abstractNumId w:val="4"/>
  </w:num>
  <w:num w:numId="38">
    <w:abstractNumId w:val="31"/>
  </w:num>
  <w:num w:numId="39">
    <w:abstractNumId w:val="27"/>
  </w:num>
  <w:num w:numId="40">
    <w:abstractNumId w:val="2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FF"/>
    <w:rsid w:val="00003C78"/>
    <w:rsid w:val="00035715"/>
    <w:rsid w:val="00044FE2"/>
    <w:rsid w:val="00065AEE"/>
    <w:rsid w:val="00066960"/>
    <w:rsid w:val="00066F77"/>
    <w:rsid w:val="00074BD9"/>
    <w:rsid w:val="00084CFD"/>
    <w:rsid w:val="00087907"/>
    <w:rsid w:val="0008796F"/>
    <w:rsid w:val="00094B3B"/>
    <w:rsid w:val="000A0812"/>
    <w:rsid w:val="000A2742"/>
    <w:rsid w:val="000A5077"/>
    <w:rsid w:val="000D1D73"/>
    <w:rsid w:val="000E2985"/>
    <w:rsid w:val="000F08B8"/>
    <w:rsid w:val="0010441D"/>
    <w:rsid w:val="0010654B"/>
    <w:rsid w:val="001206F9"/>
    <w:rsid w:val="0012300A"/>
    <w:rsid w:val="001401F2"/>
    <w:rsid w:val="00151660"/>
    <w:rsid w:val="00152480"/>
    <w:rsid w:val="00154061"/>
    <w:rsid w:val="00162025"/>
    <w:rsid w:val="001707A4"/>
    <w:rsid w:val="00173CC2"/>
    <w:rsid w:val="00182448"/>
    <w:rsid w:val="001832D5"/>
    <w:rsid w:val="0018470E"/>
    <w:rsid w:val="00186AAE"/>
    <w:rsid w:val="001B4533"/>
    <w:rsid w:val="001C4182"/>
    <w:rsid w:val="001E7811"/>
    <w:rsid w:val="002031ED"/>
    <w:rsid w:val="00233487"/>
    <w:rsid w:val="00243616"/>
    <w:rsid w:val="00250AFD"/>
    <w:rsid w:val="00251335"/>
    <w:rsid w:val="00260395"/>
    <w:rsid w:val="00260FD6"/>
    <w:rsid w:val="0026116A"/>
    <w:rsid w:val="00261A45"/>
    <w:rsid w:val="002870CE"/>
    <w:rsid w:val="0029245A"/>
    <w:rsid w:val="002A5CC9"/>
    <w:rsid w:val="002B6DE9"/>
    <w:rsid w:val="002E7ACE"/>
    <w:rsid w:val="00307228"/>
    <w:rsid w:val="00313046"/>
    <w:rsid w:val="0032240D"/>
    <w:rsid w:val="003225E7"/>
    <w:rsid w:val="003278EE"/>
    <w:rsid w:val="00330DED"/>
    <w:rsid w:val="00333345"/>
    <w:rsid w:val="0033421B"/>
    <w:rsid w:val="00334731"/>
    <w:rsid w:val="0035774F"/>
    <w:rsid w:val="00363C59"/>
    <w:rsid w:val="00365504"/>
    <w:rsid w:val="00367713"/>
    <w:rsid w:val="003712D7"/>
    <w:rsid w:val="003924EF"/>
    <w:rsid w:val="00392BAE"/>
    <w:rsid w:val="003B13A7"/>
    <w:rsid w:val="003B677A"/>
    <w:rsid w:val="003C123B"/>
    <w:rsid w:val="003C53BC"/>
    <w:rsid w:val="003C7FA3"/>
    <w:rsid w:val="003D196B"/>
    <w:rsid w:val="003E7DAF"/>
    <w:rsid w:val="003F793E"/>
    <w:rsid w:val="004062DB"/>
    <w:rsid w:val="00445505"/>
    <w:rsid w:val="00445B38"/>
    <w:rsid w:val="004468CF"/>
    <w:rsid w:val="004516EB"/>
    <w:rsid w:val="00452711"/>
    <w:rsid w:val="004636D7"/>
    <w:rsid w:val="004736C4"/>
    <w:rsid w:val="00474BFF"/>
    <w:rsid w:val="0048219D"/>
    <w:rsid w:val="00483019"/>
    <w:rsid w:val="00486AB9"/>
    <w:rsid w:val="004B2584"/>
    <w:rsid w:val="004B2E4D"/>
    <w:rsid w:val="004B71EF"/>
    <w:rsid w:val="004C71A0"/>
    <w:rsid w:val="004D29D5"/>
    <w:rsid w:val="004F29BC"/>
    <w:rsid w:val="00527BA1"/>
    <w:rsid w:val="0053168A"/>
    <w:rsid w:val="00542CF6"/>
    <w:rsid w:val="00546DF3"/>
    <w:rsid w:val="00586AD7"/>
    <w:rsid w:val="0059301F"/>
    <w:rsid w:val="005944F4"/>
    <w:rsid w:val="005B2FFB"/>
    <w:rsid w:val="005B3780"/>
    <w:rsid w:val="005C55B6"/>
    <w:rsid w:val="005D6206"/>
    <w:rsid w:val="005F0DE1"/>
    <w:rsid w:val="005F2B10"/>
    <w:rsid w:val="005F5FAA"/>
    <w:rsid w:val="00601EA8"/>
    <w:rsid w:val="0061505F"/>
    <w:rsid w:val="00615A37"/>
    <w:rsid w:val="006277C2"/>
    <w:rsid w:val="00630A19"/>
    <w:rsid w:val="00635DCE"/>
    <w:rsid w:val="00636580"/>
    <w:rsid w:val="00662861"/>
    <w:rsid w:val="00667B8D"/>
    <w:rsid w:val="00675931"/>
    <w:rsid w:val="00681D3F"/>
    <w:rsid w:val="006836F3"/>
    <w:rsid w:val="00691DF9"/>
    <w:rsid w:val="006A45C5"/>
    <w:rsid w:val="006A6F3B"/>
    <w:rsid w:val="006B61B5"/>
    <w:rsid w:val="006E7483"/>
    <w:rsid w:val="006F2BDB"/>
    <w:rsid w:val="006F3557"/>
    <w:rsid w:val="006F5CAB"/>
    <w:rsid w:val="00710600"/>
    <w:rsid w:val="007241C8"/>
    <w:rsid w:val="00745B28"/>
    <w:rsid w:val="00754774"/>
    <w:rsid w:val="00756F67"/>
    <w:rsid w:val="0077126A"/>
    <w:rsid w:val="007B3B41"/>
    <w:rsid w:val="007C09A3"/>
    <w:rsid w:val="007C0CC6"/>
    <w:rsid w:val="007D47F5"/>
    <w:rsid w:val="0080259D"/>
    <w:rsid w:val="00803D86"/>
    <w:rsid w:val="00806CBC"/>
    <w:rsid w:val="0083041A"/>
    <w:rsid w:val="00845151"/>
    <w:rsid w:val="008714D9"/>
    <w:rsid w:val="00890E64"/>
    <w:rsid w:val="00895C9D"/>
    <w:rsid w:val="00897BD7"/>
    <w:rsid w:val="008A1EEC"/>
    <w:rsid w:val="008B01AC"/>
    <w:rsid w:val="008B4671"/>
    <w:rsid w:val="008B4819"/>
    <w:rsid w:val="008D06C0"/>
    <w:rsid w:val="008D5A1A"/>
    <w:rsid w:val="008D69EE"/>
    <w:rsid w:val="008E401C"/>
    <w:rsid w:val="008F3689"/>
    <w:rsid w:val="008F76C5"/>
    <w:rsid w:val="00910348"/>
    <w:rsid w:val="0091172A"/>
    <w:rsid w:val="009127AE"/>
    <w:rsid w:val="00941739"/>
    <w:rsid w:val="0094351D"/>
    <w:rsid w:val="0094426C"/>
    <w:rsid w:val="00950EE7"/>
    <w:rsid w:val="009560FF"/>
    <w:rsid w:val="009636C8"/>
    <w:rsid w:val="009716D2"/>
    <w:rsid w:val="00973220"/>
    <w:rsid w:val="009911BE"/>
    <w:rsid w:val="009960B9"/>
    <w:rsid w:val="009C0BDA"/>
    <w:rsid w:val="009C626E"/>
    <w:rsid w:val="009C66E3"/>
    <w:rsid w:val="009D2ADC"/>
    <w:rsid w:val="009D50A6"/>
    <w:rsid w:val="00A07682"/>
    <w:rsid w:val="00A11468"/>
    <w:rsid w:val="00A13EAF"/>
    <w:rsid w:val="00A146F4"/>
    <w:rsid w:val="00A17089"/>
    <w:rsid w:val="00A425FA"/>
    <w:rsid w:val="00A43868"/>
    <w:rsid w:val="00A4610F"/>
    <w:rsid w:val="00A66D59"/>
    <w:rsid w:val="00A83C2A"/>
    <w:rsid w:val="00A95241"/>
    <w:rsid w:val="00AC4F63"/>
    <w:rsid w:val="00AE7098"/>
    <w:rsid w:val="00AE73AC"/>
    <w:rsid w:val="00AE7529"/>
    <w:rsid w:val="00AF0B96"/>
    <w:rsid w:val="00AF0C17"/>
    <w:rsid w:val="00B01121"/>
    <w:rsid w:val="00B03289"/>
    <w:rsid w:val="00B077B2"/>
    <w:rsid w:val="00B144C0"/>
    <w:rsid w:val="00B57E9F"/>
    <w:rsid w:val="00B645E6"/>
    <w:rsid w:val="00B743B9"/>
    <w:rsid w:val="00B949F5"/>
    <w:rsid w:val="00B97669"/>
    <w:rsid w:val="00BA43C1"/>
    <w:rsid w:val="00BA4DFF"/>
    <w:rsid w:val="00BE29AA"/>
    <w:rsid w:val="00C17553"/>
    <w:rsid w:val="00C20CFF"/>
    <w:rsid w:val="00C324E2"/>
    <w:rsid w:val="00C326AE"/>
    <w:rsid w:val="00C32A86"/>
    <w:rsid w:val="00C64717"/>
    <w:rsid w:val="00C656C8"/>
    <w:rsid w:val="00C71CFA"/>
    <w:rsid w:val="00C8757A"/>
    <w:rsid w:val="00C91F9E"/>
    <w:rsid w:val="00CD0210"/>
    <w:rsid w:val="00CF0540"/>
    <w:rsid w:val="00CF646C"/>
    <w:rsid w:val="00D065D7"/>
    <w:rsid w:val="00D06856"/>
    <w:rsid w:val="00D10608"/>
    <w:rsid w:val="00D17992"/>
    <w:rsid w:val="00D17E6A"/>
    <w:rsid w:val="00D2293C"/>
    <w:rsid w:val="00D24393"/>
    <w:rsid w:val="00D27050"/>
    <w:rsid w:val="00D271F2"/>
    <w:rsid w:val="00D3779B"/>
    <w:rsid w:val="00D4682E"/>
    <w:rsid w:val="00D557D8"/>
    <w:rsid w:val="00D61E0F"/>
    <w:rsid w:val="00D7169A"/>
    <w:rsid w:val="00D86BE3"/>
    <w:rsid w:val="00D913FA"/>
    <w:rsid w:val="00D921A2"/>
    <w:rsid w:val="00D927F2"/>
    <w:rsid w:val="00D97674"/>
    <w:rsid w:val="00DB1B1C"/>
    <w:rsid w:val="00DB35F9"/>
    <w:rsid w:val="00DB4839"/>
    <w:rsid w:val="00DC2FA9"/>
    <w:rsid w:val="00DC362C"/>
    <w:rsid w:val="00DD20E7"/>
    <w:rsid w:val="00DD4C4B"/>
    <w:rsid w:val="00DE0485"/>
    <w:rsid w:val="00DF1F43"/>
    <w:rsid w:val="00DF7242"/>
    <w:rsid w:val="00E011EA"/>
    <w:rsid w:val="00E0121C"/>
    <w:rsid w:val="00E16A13"/>
    <w:rsid w:val="00E25459"/>
    <w:rsid w:val="00E26067"/>
    <w:rsid w:val="00E2629C"/>
    <w:rsid w:val="00E27D13"/>
    <w:rsid w:val="00E32D70"/>
    <w:rsid w:val="00E40801"/>
    <w:rsid w:val="00E40C41"/>
    <w:rsid w:val="00E4648A"/>
    <w:rsid w:val="00E51DDD"/>
    <w:rsid w:val="00E537BC"/>
    <w:rsid w:val="00E62DE1"/>
    <w:rsid w:val="00E735CF"/>
    <w:rsid w:val="00E91432"/>
    <w:rsid w:val="00E975F8"/>
    <w:rsid w:val="00EA0375"/>
    <w:rsid w:val="00EA16C3"/>
    <w:rsid w:val="00EA4C8E"/>
    <w:rsid w:val="00EB3674"/>
    <w:rsid w:val="00EC7D2D"/>
    <w:rsid w:val="00EE4144"/>
    <w:rsid w:val="00EE5CA5"/>
    <w:rsid w:val="00EF3685"/>
    <w:rsid w:val="00F022AD"/>
    <w:rsid w:val="00F03BED"/>
    <w:rsid w:val="00F166DB"/>
    <w:rsid w:val="00F25E2F"/>
    <w:rsid w:val="00F2696E"/>
    <w:rsid w:val="00F34C21"/>
    <w:rsid w:val="00F4021A"/>
    <w:rsid w:val="00F439F9"/>
    <w:rsid w:val="00F45CE8"/>
    <w:rsid w:val="00F527AD"/>
    <w:rsid w:val="00F56B46"/>
    <w:rsid w:val="00F641D6"/>
    <w:rsid w:val="00F81129"/>
    <w:rsid w:val="00F908BA"/>
    <w:rsid w:val="00FA3767"/>
    <w:rsid w:val="00FA755E"/>
    <w:rsid w:val="00FB1111"/>
    <w:rsid w:val="00FB36C4"/>
    <w:rsid w:val="00FB79BE"/>
    <w:rsid w:val="00FC27A9"/>
    <w:rsid w:val="00FD26E8"/>
    <w:rsid w:val="00FD519F"/>
    <w:rsid w:val="00FF4CAE"/>
    <w:rsid w:val="00FF506D"/>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0CFF"/>
    <w:pPr>
      <w:tabs>
        <w:tab w:val="center" w:pos="4680"/>
        <w:tab w:val="right" w:pos="9360"/>
      </w:tabs>
    </w:pPr>
  </w:style>
  <w:style w:type="character" w:customStyle="1" w:styleId="HeaderChar">
    <w:name w:val="Header Char"/>
    <w:basedOn w:val="DefaultParagraphFont"/>
    <w:link w:val="Header"/>
    <w:rsid w:val="00C20CFF"/>
    <w:rPr>
      <w:sz w:val="24"/>
      <w:szCs w:val="24"/>
    </w:rPr>
  </w:style>
  <w:style w:type="paragraph" w:styleId="Footer">
    <w:name w:val="footer"/>
    <w:basedOn w:val="Normal"/>
    <w:link w:val="FooterChar"/>
    <w:uiPriority w:val="99"/>
    <w:rsid w:val="00C20CFF"/>
    <w:pPr>
      <w:tabs>
        <w:tab w:val="center" w:pos="4680"/>
        <w:tab w:val="right" w:pos="9360"/>
      </w:tabs>
    </w:pPr>
  </w:style>
  <w:style w:type="character" w:customStyle="1" w:styleId="FooterChar">
    <w:name w:val="Footer Char"/>
    <w:basedOn w:val="DefaultParagraphFont"/>
    <w:link w:val="Footer"/>
    <w:uiPriority w:val="99"/>
    <w:rsid w:val="00C20CFF"/>
    <w:rPr>
      <w:sz w:val="24"/>
      <w:szCs w:val="24"/>
    </w:rPr>
  </w:style>
  <w:style w:type="table" w:styleId="TableGrid">
    <w:name w:val="Table Grid"/>
    <w:basedOn w:val="TableNormal"/>
    <w:rsid w:val="00C2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06C0"/>
    <w:rPr>
      <w:color w:val="0000FF" w:themeColor="hyperlink"/>
      <w:u w:val="single"/>
    </w:rPr>
  </w:style>
  <w:style w:type="paragraph" w:styleId="ListParagraph">
    <w:name w:val="List Paragraph"/>
    <w:basedOn w:val="Normal"/>
    <w:uiPriority w:val="34"/>
    <w:qFormat/>
    <w:rsid w:val="008D06C0"/>
    <w:pPr>
      <w:ind w:left="720"/>
      <w:contextualSpacing/>
    </w:pPr>
  </w:style>
  <w:style w:type="character" w:styleId="FollowedHyperlink">
    <w:name w:val="FollowedHyperlink"/>
    <w:basedOn w:val="DefaultParagraphFont"/>
    <w:rsid w:val="009C6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0CFF"/>
    <w:pPr>
      <w:tabs>
        <w:tab w:val="center" w:pos="4680"/>
        <w:tab w:val="right" w:pos="9360"/>
      </w:tabs>
    </w:pPr>
  </w:style>
  <w:style w:type="character" w:customStyle="1" w:styleId="HeaderChar">
    <w:name w:val="Header Char"/>
    <w:basedOn w:val="DefaultParagraphFont"/>
    <w:link w:val="Header"/>
    <w:rsid w:val="00C20CFF"/>
    <w:rPr>
      <w:sz w:val="24"/>
      <w:szCs w:val="24"/>
    </w:rPr>
  </w:style>
  <w:style w:type="paragraph" w:styleId="Footer">
    <w:name w:val="footer"/>
    <w:basedOn w:val="Normal"/>
    <w:link w:val="FooterChar"/>
    <w:uiPriority w:val="99"/>
    <w:rsid w:val="00C20CFF"/>
    <w:pPr>
      <w:tabs>
        <w:tab w:val="center" w:pos="4680"/>
        <w:tab w:val="right" w:pos="9360"/>
      </w:tabs>
    </w:pPr>
  </w:style>
  <w:style w:type="character" w:customStyle="1" w:styleId="FooterChar">
    <w:name w:val="Footer Char"/>
    <w:basedOn w:val="DefaultParagraphFont"/>
    <w:link w:val="Footer"/>
    <w:uiPriority w:val="99"/>
    <w:rsid w:val="00C20CFF"/>
    <w:rPr>
      <w:sz w:val="24"/>
      <w:szCs w:val="24"/>
    </w:rPr>
  </w:style>
  <w:style w:type="table" w:styleId="TableGrid">
    <w:name w:val="Table Grid"/>
    <w:basedOn w:val="TableNormal"/>
    <w:rsid w:val="00C2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06C0"/>
    <w:rPr>
      <w:color w:val="0000FF" w:themeColor="hyperlink"/>
      <w:u w:val="single"/>
    </w:rPr>
  </w:style>
  <w:style w:type="paragraph" w:styleId="ListParagraph">
    <w:name w:val="List Paragraph"/>
    <w:basedOn w:val="Normal"/>
    <w:uiPriority w:val="34"/>
    <w:qFormat/>
    <w:rsid w:val="008D06C0"/>
    <w:pPr>
      <w:ind w:left="720"/>
      <w:contextualSpacing/>
    </w:pPr>
  </w:style>
  <w:style w:type="character" w:styleId="FollowedHyperlink">
    <w:name w:val="FollowedHyperlink"/>
    <w:basedOn w:val="DefaultParagraphFont"/>
    <w:rsid w:val="009C6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hs.org/investigators/forms-templates/study-document-templates/" TargetMode="External"/><Relationship Id="rId18" Type="http://schemas.openxmlformats.org/officeDocument/2006/relationships/hyperlink" Target="https://www.iths.org/investigators/services/bmi/redcap/" TargetMode="External"/><Relationship Id="rId26" Type="http://schemas.openxmlformats.org/officeDocument/2006/relationships/hyperlink" Target="https://www.iths.org/investigators/services/regulatory-monitoring/" TargetMode="External"/><Relationship Id="rId3" Type="http://schemas.microsoft.com/office/2007/relationships/stylesWithEffects" Target="stylesWithEffects.xml"/><Relationship Id="rId21" Type="http://schemas.openxmlformats.org/officeDocument/2006/relationships/hyperlink" Target="https://www.iths.org/investigators/forms-templates/study-document-templates/" TargetMode="External"/><Relationship Id="rId7" Type="http://schemas.openxmlformats.org/officeDocument/2006/relationships/endnotes" Target="endnotes.xml"/><Relationship Id="rId12" Type="http://schemas.openxmlformats.org/officeDocument/2006/relationships/hyperlink" Target="https://www.iths.org/investigators/services/bmi/" TargetMode="External"/><Relationship Id="rId17" Type="http://schemas.openxmlformats.org/officeDocument/2006/relationships/hyperlink" Target="http://www.washington.edu/research/main.php?page=agreementGuide" TargetMode="External"/><Relationship Id="rId25" Type="http://schemas.openxmlformats.org/officeDocument/2006/relationships/hyperlink" Target="http://www.accessdata.fda.gov/scripts/cdrh/cfdocs/cfcfr/CFRSearch.cfm?fr=312.6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ashington.edu/research/main.php?page=industryAgreements" TargetMode="External"/><Relationship Id="rId20" Type="http://schemas.openxmlformats.org/officeDocument/2006/relationships/hyperlink" Target="https://www.ehs.washington.edu/eposhiphazmat/" TargetMode="External"/><Relationship Id="rId29" Type="http://schemas.openxmlformats.org/officeDocument/2006/relationships/hyperlink" Target="http://www.washington.edu/research/hsd/cours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pts.washington.edu/comply/docs/PP_25.pdf" TargetMode="External"/><Relationship Id="rId24" Type="http://schemas.openxmlformats.org/officeDocument/2006/relationships/hyperlink" Target="https://www.washington.edu/research/hsd/docs/17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pts.washington.edu/comply/docs/COM-101_Policy.pdf" TargetMode="External"/><Relationship Id="rId23" Type="http://schemas.openxmlformats.org/officeDocument/2006/relationships/hyperlink" Target="http://www.washington.edu/research/main.php?page=agreementGuide" TargetMode="External"/><Relationship Id="rId28" Type="http://schemas.openxmlformats.org/officeDocument/2006/relationships/hyperlink" Target="mailto:osp@uw.edu" TargetMode="External"/><Relationship Id="rId10" Type="http://schemas.openxmlformats.org/officeDocument/2006/relationships/hyperlink" Target="http://depts.washington.edu/comply/docs/PP_18.pdf" TargetMode="External"/><Relationship Id="rId19" Type="http://schemas.openxmlformats.org/officeDocument/2006/relationships/hyperlink" Target="https://www.ehs.washington.edu/rbs/bbp.s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pts.washington.edu/comply/compliance-programs/hipaa-program/accounting-of-disclosures/" TargetMode="External"/><Relationship Id="rId14" Type="http://schemas.openxmlformats.org/officeDocument/2006/relationships/hyperlink" Target="mailto:crbb@uw.edu" TargetMode="External"/><Relationship Id="rId22" Type="http://schemas.openxmlformats.org/officeDocument/2006/relationships/hyperlink" Target="http://www.washington.edu/research/main.php?page=industryAgreements" TargetMode="External"/><Relationship Id="rId27" Type="http://schemas.openxmlformats.org/officeDocument/2006/relationships/hyperlink" Target="https://www.iths.org/investigators/services/cb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4D8BA790</Template>
  <TotalTime>140</TotalTime>
  <Pages>3</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avick</dc:creator>
  <cp:lastModifiedBy>avick</cp:lastModifiedBy>
  <cp:revision>7</cp:revision>
  <dcterms:created xsi:type="dcterms:W3CDTF">2016-03-07T19:12:00Z</dcterms:created>
  <dcterms:modified xsi:type="dcterms:W3CDTF">2017-10-10T22:30:00Z</dcterms:modified>
</cp:coreProperties>
</file>