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3080" w14:textId="28212ECF" w:rsidR="005762DF" w:rsidRDefault="005F58C5" w:rsidP="00D80E79">
      <w:pPr>
        <w:pStyle w:val="Heading2"/>
      </w:pPr>
      <w:r>
        <w:t xml:space="preserve">TEMPLATE – </w:t>
      </w:r>
      <w:r w:rsidR="001C2D8C">
        <w:t xml:space="preserve">Policy for </w:t>
      </w:r>
      <w:r w:rsidR="00072FDB">
        <w:t>Addressing</w:t>
      </w:r>
      <w:r w:rsidR="001C2D8C">
        <w:t xml:space="preserve"> </w:t>
      </w:r>
      <w:r>
        <w:t xml:space="preserve">Conflicts of Interest </w:t>
      </w:r>
      <w:r w:rsidR="004C34A4">
        <w:t>in</w:t>
      </w:r>
      <w:r>
        <w:t xml:space="preserve"> Continuing Medical Education</w:t>
      </w:r>
    </w:p>
    <w:p w14:paraId="5CAA1D18" w14:textId="34A5F056" w:rsidR="005F58C5" w:rsidRPr="00AB4A65" w:rsidRDefault="00AB4A65" w:rsidP="006D7CA0">
      <w:pPr>
        <w:spacing w:after="0"/>
        <w:contextualSpacing/>
        <w:rPr>
          <w:rFonts w:cstheme="minorHAnsi"/>
          <w:bCs/>
        </w:rPr>
      </w:pPr>
      <w:r>
        <w:rPr>
          <w:rFonts w:cstheme="minorHAnsi"/>
          <w:bCs/>
        </w:rPr>
        <w:t xml:space="preserve">Practice-based Research Networks often provide professional development opportunities </w:t>
      </w:r>
      <w:r w:rsidR="006C6DF7">
        <w:rPr>
          <w:rFonts w:cstheme="minorHAnsi"/>
          <w:bCs/>
        </w:rPr>
        <w:t xml:space="preserve">and continuing medical education credit is an important </w:t>
      </w:r>
      <w:r w:rsidR="00D87474">
        <w:rPr>
          <w:rFonts w:cstheme="minorHAnsi"/>
          <w:bCs/>
        </w:rPr>
        <w:t>consideration for bu</w:t>
      </w:r>
      <w:r w:rsidR="00436161">
        <w:rPr>
          <w:rFonts w:cstheme="minorHAnsi"/>
          <w:bCs/>
        </w:rPr>
        <w:t xml:space="preserve">sy clinicians to justify time spent away from clinical responsibilities. </w:t>
      </w:r>
      <w:r w:rsidR="007968A0">
        <w:rPr>
          <w:rFonts w:cstheme="minorHAnsi"/>
          <w:bCs/>
        </w:rPr>
        <w:t xml:space="preserve">The following policy provides guidance for network administrators to identify and resolve conflicts of interest </w:t>
      </w:r>
      <w:r w:rsidR="00202F05">
        <w:rPr>
          <w:rFonts w:cstheme="minorHAnsi"/>
          <w:bCs/>
        </w:rPr>
        <w:t>that may arise and inhibit offering continuing medical education credit to members.</w:t>
      </w:r>
    </w:p>
    <w:p w14:paraId="1A093B5B" w14:textId="77777777" w:rsidR="005762DF" w:rsidRPr="005F58C5" w:rsidRDefault="005762DF" w:rsidP="005F58C5">
      <w:pPr>
        <w:spacing w:after="0"/>
        <w:contextualSpacing/>
        <w:rPr>
          <w:rFonts w:cstheme="minorHAnsi"/>
          <w:b/>
        </w:rPr>
      </w:pPr>
    </w:p>
    <w:p w14:paraId="1A501568" w14:textId="7CB24D4A" w:rsidR="00DA679D" w:rsidRPr="00D80E79" w:rsidRDefault="00B60411" w:rsidP="007C0560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  <w:r w:rsidRPr="00D80E79">
        <w:rPr>
          <w:rFonts w:cstheme="minorHAnsi"/>
          <w:b/>
          <w:sz w:val="24"/>
          <w:szCs w:val="24"/>
        </w:rPr>
        <w:t xml:space="preserve">Conflicts of Interest </w:t>
      </w:r>
      <w:r w:rsidR="00D80E79" w:rsidRPr="00D80E79">
        <w:rPr>
          <w:rFonts w:cstheme="minorHAnsi"/>
          <w:b/>
          <w:sz w:val="24"/>
          <w:szCs w:val="24"/>
        </w:rPr>
        <w:t>in</w:t>
      </w:r>
      <w:r w:rsidRPr="00D80E79">
        <w:rPr>
          <w:rFonts w:cstheme="minorHAnsi"/>
          <w:b/>
          <w:sz w:val="24"/>
          <w:szCs w:val="24"/>
        </w:rPr>
        <w:t xml:space="preserve"> Continuing Medical Education </w:t>
      </w:r>
    </w:p>
    <w:p w14:paraId="6CD97D4D" w14:textId="77777777" w:rsidR="007C0560" w:rsidRDefault="007C0560" w:rsidP="007C0560">
      <w:pPr>
        <w:spacing w:after="0"/>
        <w:ind w:left="-446"/>
      </w:pPr>
    </w:p>
    <w:p w14:paraId="293951CA" w14:textId="284AB131" w:rsidR="003010D8" w:rsidRDefault="00DA679D" w:rsidP="00CF51FA">
      <w:r>
        <w:t xml:space="preserve">The </w:t>
      </w:r>
      <w:r w:rsidR="00322EA4" w:rsidRPr="00B83181">
        <w:rPr>
          <w:color w:val="00B0F0"/>
        </w:rPr>
        <w:t>NETWORK</w:t>
      </w:r>
      <w:r w:rsidR="00B60411" w:rsidRPr="00B83181">
        <w:rPr>
          <w:color w:val="00B0F0"/>
        </w:rPr>
        <w:t xml:space="preserve"> </w:t>
      </w:r>
      <w:r w:rsidR="00B60411">
        <w:t xml:space="preserve">provides education opportunities for member practices, which may include the availability of continuing medical education (CME) credits.  </w:t>
      </w:r>
      <w:r w:rsidR="003010D8">
        <w:t xml:space="preserve">The </w:t>
      </w:r>
      <w:r w:rsidR="00B83181" w:rsidRPr="00B83181">
        <w:rPr>
          <w:color w:val="00B0F0"/>
        </w:rPr>
        <w:t xml:space="preserve">NETWORK </w:t>
      </w:r>
      <w:r w:rsidR="003010D8">
        <w:t>adheres to criteria for accreditation of CME education and training opportunities and standards for ensuring independence of CME activities and commercial support set by the</w:t>
      </w:r>
      <w:r w:rsidR="003010D8" w:rsidRPr="003010D8">
        <w:t xml:space="preserve"> </w:t>
      </w:r>
      <w:r w:rsidR="003010D8">
        <w:t>Accreditation Council for Continuing Medical Education</w:t>
      </w:r>
      <w:r w:rsidR="007B57AB">
        <w:t xml:space="preserve"> (ACCME):</w:t>
      </w:r>
      <w:r w:rsidR="003010D8">
        <w:t xml:space="preserve"> </w:t>
      </w:r>
      <w:hyperlink r:id="rId10" w:history="1">
        <w:r w:rsidR="003010D8" w:rsidRPr="006734E1">
          <w:rPr>
            <w:rStyle w:val="Hyperlink"/>
          </w:rPr>
          <w:t>https://www.accme.org/</w:t>
        </w:r>
      </w:hyperlink>
      <w:r w:rsidR="007B57AB">
        <w:t>.</w:t>
      </w:r>
      <w:r w:rsidR="003010D8">
        <w:t xml:space="preserve">   </w:t>
      </w:r>
    </w:p>
    <w:p w14:paraId="0D51E9D0" w14:textId="0AE0CD3B" w:rsidR="00DA679D" w:rsidRDefault="00EE6830" w:rsidP="00CF51FA">
      <w:r>
        <w:t xml:space="preserve">The intent of this policy is to identify and resolve any conflict of interest </w:t>
      </w:r>
      <w:r w:rsidRPr="007C0560">
        <w:rPr>
          <w:u w:val="single"/>
        </w:rPr>
        <w:t>before</w:t>
      </w:r>
      <w:r>
        <w:t xml:space="preserve"> CME-accredited activities occur and</w:t>
      </w:r>
      <w:r w:rsidR="00DA679D">
        <w:t xml:space="preserve"> </w:t>
      </w:r>
      <w:r w:rsidR="00D463F9">
        <w:t>govern</w:t>
      </w:r>
      <w:r w:rsidR="00DA679D">
        <w:t xml:space="preserve"> all </w:t>
      </w:r>
      <w:r w:rsidR="00B83181" w:rsidRPr="00B83181">
        <w:rPr>
          <w:color w:val="00B0F0"/>
        </w:rPr>
        <w:t>NETWORK</w:t>
      </w:r>
      <w:r w:rsidR="003010D8">
        <w:t>-</w:t>
      </w:r>
      <w:r w:rsidR="00DA679D">
        <w:t>produced CME activities</w:t>
      </w:r>
      <w:r w:rsidR="003010D8">
        <w:t xml:space="preserve">, including, but not limited to selection of speakers and content </w:t>
      </w:r>
      <w:r w:rsidR="007C0560">
        <w:t>development</w:t>
      </w:r>
      <w:r w:rsidR="003010D8">
        <w:t>.</w:t>
      </w:r>
      <w:r w:rsidR="00DA679D">
        <w:t xml:space="preserve"> </w:t>
      </w:r>
    </w:p>
    <w:p w14:paraId="38E18CBE" w14:textId="1114C8C8" w:rsidR="003010D8" w:rsidRDefault="00EE6830" w:rsidP="007B57AB">
      <w:pPr>
        <w:pStyle w:val="ListParagraph"/>
        <w:numPr>
          <w:ilvl w:val="0"/>
          <w:numId w:val="1"/>
        </w:numPr>
        <w:spacing w:after="120"/>
        <w:ind w:left="274"/>
        <w:contextualSpacing w:val="0"/>
      </w:pPr>
      <w:r>
        <w:t>I</w:t>
      </w:r>
      <w:r w:rsidR="00DA679D">
        <w:t>ndividual</w:t>
      </w:r>
      <w:r>
        <w:t>s</w:t>
      </w:r>
      <w:r w:rsidR="00DA679D">
        <w:t xml:space="preserve"> in a position to control content must disclose</w:t>
      </w:r>
      <w:r w:rsidR="00B5333A">
        <w:t xml:space="preserve"> in writing to the </w:t>
      </w:r>
      <w:r w:rsidR="00736FFB" w:rsidRPr="00B83181">
        <w:rPr>
          <w:color w:val="00B0F0"/>
        </w:rPr>
        <w:t xml:space="preserve">NETWORK </w:t>
      </w:r>
      <w:r w:rsidR="00DA679D">
        <w:t>the existence of any financial relationships with a commercial interest</w:t>
      </w:r>
      <w:r w:rsidR="007B57AB">
        <w:t>, as defined by the ACCME</w:t>
      </w:r>
      <w:r w:rsidR="007C0560">
        <w:t>,</w:t>
      </w:r>
      <w:r w:rsidR="00DA679D">
        <w:t xml:space="preserve"> within the past 12 months </w:t>
      </w:r>
      <w:r w:rsidR="007C0560">
        <w:t>before confirmation as an activity planner, faculty author, or other content controlling role.</w:t>
      </w:r>
    </w:p>
    <w:p w14:paraId="03E83F0F" w14:textId="05D4D28A" w:rsidR="003010D8" w:rsidRDefault="00EE6830" w:rsidP="007B57AB">
      <w:pPr>
        <w:pStyle w:val="ListParagraph"/>
        <w:numPr>
          <w:ilvl w:val="0"/>
          <w:numId w:val="1"/>
        </w:numPr>
        <w:spacing w:after="120"/>
        <w:ind w:left="274"/>
        <w:contextualSpacing w:val="0"/>
      </w:pPr>
      <w:r>
        <w:t>C</w:t>
      </w:r>
      <w:r w:rsidR="00DA679D">
        <w:t>onflicts of interest</w:t>
      </w:r>
      <w:r w:rsidR="007B57AB">
        <w:t>, as defined by the ACCME</w:t>
      </w:r>
      <w:r w:rsidR="00DA679D">
        <w:t xml:space="preserve"> must be identified and resolved by the </w:t>
      </w:r>
      <w:r w:rsidR="009052AB" w:rsidRPr="00B83181">
        <w:rPr>
          <w:color w:val="00B0F0"/>
        </w:rPr>
        <w:t xml:space="preserve">NETWORK </w:t>
      </w:r>
      <w:r>
        <w:t xml:space="preserve">Director </w:t>
      </w:r>
      <w:r w:rsidR="00DA679D">
        <w:t xml:space="preserve">prior to the individual’s confirmation as an activity planner, faculty author, or other content controlling role. </w:t>
      </w:r>
    </w:p>
    <w:p w14:paraId="44C172C4" w14:textId="44B21005" w:rsidR="00EE6830" w:rsidRDefault="00EE6830" w:rsidP="007B57AB">
      <w:pPr>
        <w:pStyle w:val="ListParagraph"/>
        <w:numPr>
          <w:ilvl w:val="0"/>
          <w:numId w:val="1"/>
        </w:numPr>
        <w:spacing w:after="120"/>
        <w:ind w:left="274"/>
        <w:contextualSpacing w:val="0"/>
      </w:pPr>
      <w:r>
        <w:t xml:space="preserve">Status changes </w:t>
      </w:r>
      <w:r w:rsidR="00524BB4">
        <w:t>that occur during</w:t>
      </w:r>
      <w:r>
        <w:t xml:space="preserve"> the CME planning or activity require</w:t>
      </w:r>
      <w:r w:rsidR="007C0560">
        <w:t xml:space="preserve"> individual</w:t>
      </w:r>
      <w:r w:rsidR="00B5333A">
        <w:t>s in a content controlling role</w:t>
      </w:r>
      <w:r w:rsidR="007C0560">
        <w:t xml:space="preserve"> to update</w:t>
      </w:r>
      <w:r>
        <w:t xml:space="preserve"> </w:t>
      </w:r>
      <w:r w:rsidR="007B57AB">
        <w:t>disclosure information</w:t>
      </w:r>
      <w:r w:rsidR="00B5333A">
        <w:t>.</w:t>
      </w:r>
    </w:p>
    <w:p w14:paraId="13670930" w14:textId="1F71C5CC" w:rsidR="007B57AB" w:rsidRDefault="007B57AB" w:rsidP="007B57AB">
      <w:pPr>
        <w:pStyle w:val="ListParagraph"/>
        <w:numPr>
          <w:ilvl w:val="0"/>
          <w:numId w:val="1"/>
        </w:numPr>
        <w:spacing w:after="120"/>
        <w:ind w:left="274"/>
        <w:contextualSpacing w:val="0"/>
      </w:pPr>
      <w:r>
        <w:t>Acknowledgement of all relevant disclosures</w:t>
      </w:r>
      <w:r w:rsidR="00923C15">
        <w:t xml:space="preserve"> (</w:t>
      </w:r>
      <w:r>
        <w:t>i.e., nothing to disclose or existence of affiliation(s), and/or financial relationship(s) or interest(s)</w:t>
      </w:r>
      <w:r w:rsidR="00923C15">
        <w:t xml:space="preserve">) </w:t>
      </w:r>
      <w:r>
        <w:t xml:space="preserve">for every individual who serves in a position to control content of the educational activity must be presented to the learners in writing prior to presentation or publication. </w:t>
      </w:r>
    </w:p>
    <w:p w14:paraId="77B6965E" w14:textId="7B26983B" w:rsidR="007B57AB" w:rsidRDefault="007B57AB" w:rsidP="007B57AB">
      <w:pPr>
        <w:pStyle w:val="ListParagraph"/>
        <w:numPr>
          <w:ilvl w:val="0"/>
          <w:numId w:val="1"/>
        </w:numPr>
        <w:spacing w:after="120"/>
        <w:ind w:left="274"/>
        <w:contextualSpacing w:val="0"/>
      </w:pPr>
      <w:r>
        <w:t xml:space="preserve">Failure or refusal to disclose, false disclosure, or inability to work with the </w:t>
      </w:r>
      <w:r w:rsidR="000D11B3" w:rsidRPr="00B83181">
        <w:rPr>
          <w:color w:val="00B0F0"/>
        </w:rPr>
        <w:t xml:space="preserve">NETWORK </w:t>
      </w:r>
      <w:r>
        <w:t xml:space="preserve">to resolve an identified conflict of interest will result in withdrawal of the invitation to participate and replacement of the individual. </w:t>
      </w:r>
    </w:p>
    <w:p w14:paraId="799C6379" w14:textId="77777777" w:rsidR="00B5333A" w:rsidRDefault="00B5333A" w:rsidP="007B57AB">
      <w:pPr>
        <w:spacing w:after="0"/>
        <w:ind w:left="-446"/>
        <w:rPr>
          <w:b/>
        </w:rPr>
      </w:pPr>
    </w:p>
    <w:p w14:paraId="70F607C3" w14:textId="2C8807B5" w:rsidR="00DA679D" w:rsidRPr="004B3206" w:rsidRDefault="00DA679D" w:rsidP="00941FD0">
      <w:pPr>
        <w:pStyle w:val="Subtitle"/>
      </w:pPr>
      <w:r w:rsidRPr="004B3206">
        <w:t xml:space="preserve">Resolution of Conflicts of Interest </w:t>
      </w:r>
    </w:p>
    <w:p w14:paraId="48FB654B" w14:textId="6DE6DB3A" w:rsidR="00DA679D" w:rsidRDefault="007C0560" w:rsidP="00941FD0">
      <w:r>
        <w:t>Individuals in content controlling roles</w:t>
      </w:r>
      <w:r w:rsidR="007B57AB">
        <w:t xml:space="preserve"> must be responsive to revision requirements.  The resolution process and outcome will be documented in the</w:t>
      </w:r>
      <w:r w:rsidR="00B5333A">
        <w:t xml:space="preserve"> </w:t>
      </w:r>
      <w:r w:rsidR="00ED0A2F" w:rsidRPr="00B83181">
        <w:rPr>
          <w:color w:val="00B0F0"/>
        </w:rPr>
        <w:t xml:space="preserve">NETWORK </w:t>
      </w:r>
      <w:r w:rsidR="007B57AB">
        <w:t xml:space="preserve">CME activity file. </w:t>
      </w:r>
      <w:r w:rsidR="00DA679D">
        <w:t xml:space="preserve">Resolution methods may include, but </w:t>
      </w:r>
      <w:r w:rsidR="007B57AB">
        <w:t xml:space="preserve">are </w:t>
      </w:r>
      <w:r w:rsidR="00DA679D">
        <w:t xml:space="preserve">not limited to, one or more of the following: </w:t>
      </w:r>
    </w:p>
    <w:p w14:paraId="6F69DBCA" w14:textId="2C25F300" w:rsidR="00DA679D" w:rsidRDefault="00DA679D" w:rsidP="007B57AB">
      <w:pPr>
        <w:tabs>
          <w:tab w:val="left" w:pos="720"/>
        </w:tabs>
        <w:spacing w:after="120"/>
        <w:ind w:hanging="86"/>
      </w:pPr>
      <w:r>
        <w:sym w:font="Symbol" w:char="F0B7"/>
      </w:r>
      <w:r>
        <w:t xml:space="preserve"> Peer review of content prior to the activity to ensure evidence-based, un-biased content using best available, highest strength of evidence. </w:t>
      </w:r>
    </w:p>
    <w:p w14:paraId="4B21C3A7" w14:textId="77777777" w:rsidR="00DA679D" w:rsidRDefault="00DA679D" w:rsidP="007B57AB">
      <w:pPr>
        <w:tabs>
          <w:tab w:val="left" w:pos="720"/>
        </w:tabs>
        <w:spacing w:after="120"/>
        <w:ind w:hanging="86"/>
      </w:pPr>
      <w:r>
        <w:t xml:space="preserve"> </w:t>
      </w:r>
      <w:r>
        <w:sym w:font="Symbol" w:char="F0B7"/>
      </w:r>
      <w:r>
        <w:t xml:space="preserve"> Assigning a different topic for the individual </w:t>
      </w:r>
    </w:p>
    <w:p w14:paraId="695BAD77" w14:textId="622A3855" w:rsidR="00DA679D" w:rsidRDefault="00DA679D" w:rsidP="007B57AB">
      <w:pPr>
        <w:tabs>
          <w:tab w:val="left" w:pos="720"/>
        </w:tabs>
        <w:spacing w:after="120"/>
        <w:ind w:hanging="86"/>
      </w:pPr>
      <w:r>
        <w:sym w:font="Symbol" w:char="F0B7"/>
      </w:r>
      <w:r>
        <w:t xml:space="preserve"> Assigning a different </w:t>
      </w:r>
      <w:r w:rsidR="00B5333A">
        <w:t>individual</w:t>
      </w:r>
      <w:r>
        <w:t xml:space="preserve"> for a topic </w:t>
      </w:r>
    </w:p>
    <w:p w14:paraId="5202B9A3" w14:textId="7AE133AA" w:rsidR="007B57AB" w:rsidRDefault="00DA679D" w:rsidP="007B57AB">
      <w:pPr>
        <w:tabs>
          <w:tab w:val="left" w:pos="720"/>
          <w:tab w:val="left" w:pos="6600"/>
        </w:tabs>
        <w:spacing w:after="120"/>
        <w:ind w:hanging="86"/>
      </w:pPr>
      <w:r>
        <w:sym w:font="Symbol" w:char="F0B7"/>
      </w:r>
      <w:r>
        <w:t xml:space="preserve"> Cancellation of the </w:t>
      </w:r>
      <w:r w:rsidR="00B5333A">
        <w:t>invitation to participate</w:t>
      </w:r>
      <w:r>
        <w:t xml:space="preserve"> </w:t>
      </w:r>
      <w:r w:rsidR="007B57AB">
        <w:tab/>
      </w:r>
    </w:p>
    <w:sectPr w:rsidR="007B57AB" w:rsidSect="006D7CA0">
      <w:pgSz w:w="12240" w:h="15840"/>
      <w:pgMar w:top="1440" w:right="1080" w:bottom="144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B5453" w14:textId="77777777" w:rsidR="006F140B" w:rsidRDefault="006F140B" w:rsidP="003702B9">
      <w:pPr>
        <w:spacing w:after="0" w:line="240" w:lineRule="auto"/>
      </w:pPr>
      <w:r>
        <w:separator/>
      </w:r>
    </w:p>
  </w:endnote>
  <w:endnote w:type="continuationSeparator" w:id="0">
    <w:p w14:paraId="72A093D9" w14:textId="77777777" w:rsidR="006F140B" w:rsidRDefault="006F140B" w:rsidP="00370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E0B08" w14:textId="77777777" w:rsidR="006F140B" w:rsidRDefault="006F140B" w:rsidP="003702B9">
      <w:pPr>
        <w:spacing w:after="0" w:line="240" w:lineRule="auto"/>
      </w:pPr>
      <w:r>
        <w:separator/>
      </w:r>
    </w:p>
  </w:footnote>
  <w:footnote w:type="continuationSeparator" w:id="0">
    <w:p w14:paraId="41A83F43" w14:textId="77777777" w:rsidR="006F140B" w:rsidRDefault="006F140B" w:rsidP="00370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A5374"/>
    <w:multiLevelType w:val="hybridMultilevel"/>
    <w:tmpl w:val="9F808692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98890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9D"/>
    <w:rsid w:val="00072FDB"/>
    <w:rsid w:val="000D11B3"/>
    <w:rsid w:val="001210B1"/>
    <w:rsid w:val="001C2D8C"/>
    <w:rsid w:val="00202F05"/>
    <w:rsid w:val="002F397C"/>
    <w:rsid w:val="003010D8"/>
    <w:rsid w:val="00322EA4"/>
    <w:rsid w:val="003702B9"/>
    <w:rsid w:val="00376DF6"/>
    <w:rsid w:val="004000FA"/>
    <w:rsid w:val="00430A1A"/>
    <w:rsid w:val="00436161"/>
    <w:rsid w:val="004C34A4"/>
    <w:rsid w:val="00524BB4"/>
    <w:rsid w:val="005762DF"/>
    <w:rsid w:val="005F58C5"/>
    <w:rsid w:val="006C6DF7"/>
    <w:rsid w:val="006D7CA0"/>
    <w:rsid w:val="006F140B"/>
    <w:rsid w:val="00736FFB"/>
    <w:rsid w:val="007968A0"/>
    <w:rsid w:val="007B57AB"/>
    <w:rsid w:val="007C0560"/>
    <w:rsid w:val="0080508F"/>
    <w:rsid w:val="009052AB"/>
    <w:rsid w:val="00923C15"/>
    <w:rsid w:val="00941FD0"/>
    <w:rsid w:val="00A27044"/>
    <w:rsid w:val="00A93C47"/>
    <w:rsid w:val="00AA5BB4"/>
    <w:rsid w:val="00AB4A65"/>
    <w:rsid w:val="00B5333A"/>
    <w:rsid w:val="00B60411"/>
    <w:rsid w:val="00B83181"/>
    <w:rsid w:val="00BF35B8"/>
    <w:rsid w:val="00CF51FA"/>
    <w:rsid w:val="00D463F9"/>
    <w:rsid w:val="00D80E79"/>
    <w:rsid w:val="00D87474"/>
    <w:rsid w:val="00DA679D"/>
    <w:rsid w:val="00EA5ED7"/>
    <w:rsid w:val="00EA7B64"/>
    <w:rsid w:val="00ED0A2F"/>
    <w:rsid w:val="00EE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D6A86"/>
  <w15:chartTrackingRefBased/>
  <w15:docId w15:val="{8CEF4B63-D6EF-4D96-A0FE-31AC4FA23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9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E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679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370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2B9"/>
  </w:style>
  <w:style w:type="paragraph" w:styleId="Footer">
    <w:name w:val="footer"/>
    <w:basedOn w:val="Normal"/>
    <w:link w:val="FooterChar"/>
    <w:uiPriority w:val="99"/>
    <w:unhideWhenUsed/>
    <w:rsid w:val="00370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2B9"/>
  </w:style>
  <w:style w:type="character" w:styleId="Hyperlink">
    <w:name w:val="Hyperlink"/>
    <w:basedOn w:val="DefaultParagraphFont"/>
    <w:uiPriority w:val="99"/>
    <w:unhideWhenUsed/>
    <w:rsid w:val="003010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0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10D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E68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68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68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68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68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830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80E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22EA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FD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FD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accme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5825CD79D5D47843DA387040DBF6E" ma:contentTypeVersion="19" ma:contentTypeDescription="Create a new document." ma:contentTypeScope="" ma:versionID="b5b2d0ca5aa3a94afcdfb7de129e4b9a">
  <xsd:schema xmlns:xsd="http://www.w3.org/2001/XMLSchema" xmlns:xs="http://www.w3.org/2001/XMLSchema" xmlns:p="http://schemas.microsoft.com/office/2006/metadata/properties" xmlns:ns2="f0a43e9b-5327-47ac-99be-738756919b8c" xmlns:ns3="47f8c220-5dc6-4bcf-9014-5e60d4d0fe50" xmlns:ns4="ab06a5aa-8e31-4bdb-9b13-38c58a92ec8a" targetNamespace="http://schemas.microsoft.com/office/2006/metadata/properties" ma:root="true" ma:fieldsID="d7b00a0ee1acfcf04f12ef3858a7e38a" ns2:_="" ns3:_="" ns4:_="">
    <xsd:import namespace="f0a43e9b-5327-47ac-99be-738756919b8c"/>
    <xsd:import namespace="47f8c220-5dc6-4bcf-9014-5e60d4d0fe50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3e9b-5327-47ac-99be-73875691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8c220-5dc6-4bcf-9014-5e60d4d0fe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b20ff94-e78a-4d0d-a311-b2d3a7291c0d}" ma:internalName="TaxCatchAll" ma:showField="CatchAllData" ma:web="47f8c220-5dc6-4bcf-9014-5e60d4d0f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f0a43e9b-5327-47ac-99be-738756919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BE79B1-D449-422D-8718-A70A9276C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43e9b-5327-47ac-99be-738756919b8c"/>
    <ds:schemaRef ds:uri="47f8c220-5dc6-4bcf-9014-5e60d4d0fe50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951004-6E69-441F-BEBC-0F1D81FB29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E7BA2-CA6C-4321-AC66-9B4131C0BD18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f0a43e9b-5327-47ac-99be-738756919b8c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437</Words>
  <Characters>2665</Characters>
  <Application>Microsoft Office Word</Application>
  <DocSecurity>0</DocSecurity>
  <Lines>38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Keppel</dc:creator>
  <cp:keywords/>
  <dc:description/>
  <cp:lastModifiedBy>Laurie A. Hassell</cp:lastModifiedBy>
  <cp:revision>30</cp:revision>
  <dcterms:created xsi:type="dcterms:W3CDTF">2026-02-11T23:58:00Z</dcterms:created>
  <dcterms:modified xsi:type="dcterms:W3CDTF">2026-02-13T23:26:00Z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0x01010096C5825CD79D5D47843DA387040DBF6E</vt:lpwstr>
  </property>
  <property fmtid="{D5CDD505-2E9C-101B-9397-08002B2CF9AE}" pid="3" name="Order">
    <vt:r8>17200</vt:r8>
  </property>
  <property fmtid="{D5CDD505-2E9C-101B-9397-08002B2CF9AE}" pid="4" name="MediaServiceImageTags">
    <vt:lpwstr/>
  </property>
</Properties>
</file>